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0C0" w:rsidRDefault="002170C0" w:rsidP="002D11BC">
      <w:pPr>
        <w:tabs>
          <w:tab w:val="left" w:pos="7230"/>
        </w:tabs>
        <w:spacing w:after="240" w:line="360" w:lineRule="auto"/>
        <w:jc w:val="both"/>
        <w:rPr>
          <w:rFonts w:ascii="Century" w:hAnsi="Century"/>
          <w:sz w:val="24"/>
          <w:szCs w:val="24"/>
        </w:rPr>
      </w:pPr>
    </w:p>
    <w:p w:rsidR="002170C0" w:rsidRPr="00C8218A" w:rsidRDefault="002170C0" w:rsidP="002D11BC">
      <w:pPr>
        <w:tabs>
          <w:tab w:val="left" w:pos="0"/>
        </w:tabs>
        <w:spacing w:after="240" w:line="360" w:lineRule="auto"/>
        <w:jc w:val="both"/>
      </w:pPr>
      <w:r>
        <w:rPr>
          <w:noProof/>
        </w:rPr>
        <w:drawing>
          <wp:inline distT="0" distB="0" distL="0" distR="0">
            <wp:extent cx="2185064" cy="741371"/>
            <wp:effectExtent l="19050" t="0" r="5686" b="0"/>
            <wp:docPr id="16" name="Imagen 16" descr="http://www.upct.es/contenido/universidad/galeria/identidad/elementosbase/01_MarcaPrincipal/MP%20Horizontal/01_Archivos%20JPG/MP_HzBi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upct.es/contenido/universidad/galeria/identidad/elementosbase/01_MarcaPrincipal/MP%20Horizontal/01_Archivos%20JPG/MP_HzBicolor.jpg"/>
                    <pic:cNvPicPr>
                      <a:picLocks noChangeAspect="1" noChangeArrowheads="1"/>
                    </pic:cNvPicPr>
                  </pic:nvPicPr>
                  <pic:blipFill>
                    <a:blip r:embed="rId8" cstate="print"/>
                    <a:srcRect/>
                    <a:stretch>
                      <a:fillRect/>
                    </a:stretch>
                  </pic:blipFill>
                  <pic:spPr bwMode="auto">
                    <a:xfrm>
                      <a:off x="0" y="0"/>
                      <a:ext cx="2189475" cy="742868"/>
                    </a:xfrm>
                    <a:prstGeom prst="rect">
                      <a:avLst/>
                    </a:prstGeom>
                    <a:noFill/>
                    <a:ln w="9525">
                      <a:noFill/>
                      <a:miter lim="800000"/>
                      <a:headEnd/>
                      <a:tailEnd/>
                    </a:ln>
                  </pic:spPr>
                </pic:pic>
              </a:graphicData>
            </a:graphic>
          </wp:inline>
        </w:drawing>
      </w:r>
      <w:r>
        <w:t xml:space="preserve">                                      </w:t>
      </w:r>
      <w:r>
        <w:rPr>
          <w:noProof/>
        </w:rPr>
        <w:drawing>
          <wp:inline distT="0" distB="0" distL="0" distR="0">
            <wp:extent cx="1966699" cy="914431"/>
            <wp:effectExtent l="19050" t="0" r="0" b="0"/>
            <wp:docPr id="13" name="Imagen 13" descr="http://www.fce.upct.es/imagenes/escudos/escudo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fce.upct.es/imagenes/escudos/escudo2b.jpg"/>
                    <pic:cNvPicPr>
                      <a:picLocks noChangeAspect="1" noChangeArrowheads="1"/>
                    </pic:cNvPicPr>
                  </pic:nvPicPr>
                  <pic:blipFill>
                    <a:blip r:embed="rId9" cstate="print"/>
                    <a:srcRect/>
                    <a:stretch>
                      <a:fillRect/>
                    </a:stretch>
                  </pic:blipFill>
                  <pic:spPr bwMode="auto">
                    <a:xfrm>
                      <a:off x="0" y="0"/>
                      <a:ext cx="1971651" cy="916734"/>
                    </a:xfrm>
                    <a:prstGeom prst="rect">
                      <a:avLst/>
                    </a:prstGeom>
                    <a:noFill/>
                    <a:ln w="9525">
                      <a:noFill/>
                      <a:miter lim="800000"/>
                      <a:headEnd/>
                      <a:tailEnd/>
                    </a:ln>
                  </pic:spPr>
                </pic:pic>
              </a:graphicData>
            </a:graphic>
          </wp:inline>
        </w:drawing>
      </w:r>
      <w:r>
        <w:t xml:space="preserve">                  </w:t>
      </w:r>
      <w:r w:rsidRPr="00C8218A">
        <w:t xml:space="preserve"> </w:t>
      </w:r>
    </w:p>
    <w:p w:rsidR="002170C0" w:rsidRDefault="002170C0" w:rsidP="002D11BC">
      <w:pPr>
        <w:tabs>
          <w:tab w:val="left" w:pos="0"/>
        </w:tabs>
        <w:spacing w:after="240" w:line="360" w:lineRule="auto"/>
        <w:jc w:val="both"/>
        <w:rPr>
          <w:rFonts w:ascii="Century" w:hAnsi="Century"/>
          <w:b/>
          <w:sz w:val="50"/>
          <w:szCs w:val="50"/>
        </w:rPr>
      </w:pPr>
    </w:p>
    <w:p w:rsidR="002170C0" w:rsidRPr="002C13F3" w:rsidRDefault="002170C0" w:rsidP="002D11BC">
      <w:pPr>
        <w:tabs>
          <w:tab w:val="left" w:pos="0"/>
        </w:tabs>
        <w:spacing w:after="240" w:line="360" w:lineRule="auto"/>
        <w:jc w:val="both"/>
        <w:rPr>
          <w:rFonts w:ascii="Century" w:hAnsi="Century"/>
          <w:b/>
          <w:sz w:val="50"/>
          <w:szCs w:val="50"/>
        </w:rPr>
      </w:pPr>
    </w:p>
    <w:p w:rsidR="002170C0" w:rsidRPr="00502AFE" w:rsidRDefault="002170C0" w:rsidP="007A3E2C">
      <w:pPr>
        <w:tabs>
          <w:tab w:val="left" w:pos="7230"/>
        </w:tabs>
        <w:spacing w:after="240" w:line="360" w:lineRule="auto"/>
        <w:jc w:val="center"/>
        <w:rPr>
          <w:rFonts w:ascii="Century" w:hAnsi="Century"/>
          <w:b/>
          <w:sz w:val="42"/>
          <w:szCs w:val="42"/>
          <w:u w:val="single"/>
        </w:rPr>
      </w:pPr>
      <w:r w:rsidRPr="00502AFE">
        <w:rPr>
          <w:rFonts w:ascii="Century" w:hAnsi="Century"/>
          <w:b/>
          <w:sz w:val="42"/>
          <w:szCs w:val="42"/>
          <w:u w:val="single"/>
        </w:rPr>
        <w:t>COMPETENCIA FISCAL DEL IMPUESTO SOBRE SUCESIONES EN LA UNIÓN EUROPEA Y EN ESPAÑA</w:t>
      </w:r>
      <w:r w:rsidRPr="00502AFE">
        <w:rPr>
          <w:rFonts w:cstheme="minorHAnsi"/>
          <w:b/>
          <w:sz w:val="42"/>
          <w:szCs w:val="42"/>
          <w:u w:val="single"/>
        </w:rPr>
        <w:t>:</w:t>
      </w:r>
      <w:r w:rsidR="00BA1D6B" w:rsidRPr="00502AFE">
        <w:rPr>
          <w:rFonts w:ascii="Century" w:hAnsi="Century"/>
          <w:b/>
          <w:sz w:val="42"/>
          <w:szCs w:val="42"/>
          <w:u w:val="single"/>
        </w:rPr>
        <w:t xml:space="preserve"> ANÁLISIS COMPARATIVO</w:t>
      </w:r>
      <w:r w:rsidRPr="00502AFE">
        <w:rPr>
          <w:rFonts w:ascii="Century" w:hAnsi="Century"/>
          <w:b/>
          <w:sz w:val="42"/>
          <w:szCs w:val="42"/>
          <w:u w:val="single"/>
        </w:rPr>
        <w:t xml:space="preserve"> Y PROBLEMÁTICA PLANTEADA</w:t>
      </w:r>
    </w:p>
    <w:p w:rsidR="002170C0" w:rsidRDefault="002170C0" w:rsidP="002D11BC">
      <w:pPr>
        <w:tabs>
          <w:tab w:val="left" w:pos="7230"/>
        </w:tabs>
        <w:spacing w:after="240" w:line="360" w:lineRule="auto"/>
        <w:jc w:val="both"/>
        <w:rPr>
          <w:rFonts w:ascii="Century" w:hAnsi="Century"/>
          <w:b/>
          <w:sz w:val="20"/>
          <w:szCs w:val="20"/>
        </w:rPr>
      </w:pPr>
    </w:p>
    <w:p w:rsidR="002170C0" w:rsidRDefault="002170C0" w:rsidP="002D11BC">
      <w:pPr>
        <w:tabs>
          <w:tab w:val="left" w:pos="7230"/>
        </w:tabs>
        <w:spacing w:after="240" w:line="360" w:lineRule="auto"/>
        <w:jc w:val="both"/>
        <w:rPr>
          <w:rFonts w:ascii="Century" w:hAnsi="Century"/>
          <w:b/>
          <w:sz w:val="20"/>
          <w:szCs w:val="20"/>
        </w:rPr>
      </w:pPr>
    </w:p>
    <w:p w:rsidR="002170C0" w:rsidRPr="0009011E" w:rsidRDefault="002170C0" w:rsidP="007A3E2C">
      <w:pPr>
        <w:tabs>
          <w:tab w:val="left" w:pos="7230"/>
        </w:tabs>
        <w:spacing w:after="240"/>
        <w:jc w:val="center"/>
        <w:rPr>
          <w:rFonts w:ascii="Century" w:hAnsi="Century"/>
          <w:b/>
          <w:sz w:val="24"/>
          <w:szCs w:val="24"/>
        </w:rPr>
      </w:pPr>
      <w:r w:rsidRPr="0009011E">
        <w:rPr>
          <w:rFonts w:ascii="Century" w:hAnsi="Century"/>
          <w:b/>
          <w:sz w:val="24"/>
          <w:szCs w:val="24"/>
        </w:rPr>
        <w:t>TRABAJO FIN DE MÁSTER</w:t>
      </w:r>
    </w:p>
    <w:p w:rsidR="0009011E" w:rsidRDefault="002170C0" w:rsidP="0009011E">
      <w:pPr>
        <w:tabs>
          <w:tab w:val="left" w:pos="0"/>
        </w:tabs>
        <w:spacing w:after="0"/>
        <w:jc w:val="center"/>
        <w:rPr>
          <w:rFonts w:ascii="Century" w:hAnsi="Century"/>
          <w:b/>
          <w:sz w:val="24"/>
          <w:szCs w:val="24"/>
        </w:rPr>
      </w:pPr>
      <w:r w:rsidRPr="0009011E">
        <w:rPr>
          <w:rFonts w:ascii="Century" w:hAnsi="Century"/>
          <w:b/>
          <w:sz w:val="24"/>
          <w:szCs w:val="24"/>
        </w:rPr>
        <w:t xml:space="preserve">MÁSTER UNIVERSITARIO EN ADMINISTRACIÓN </w:t>
      </w:r>
    </w:p>
    <w:p w:rsidR="002170C0" w:rsidRPr="0009011E" w:rsidRDefault="002170C0" w:rsidP="0009011E">
      <w:pPr>
        <w:tabs>
          <w:tab w:val="left" w:pos="0"/>
        </w:tabs>
        <w:spacing w:after="0"/>
        <w:jc w:val="center"/>
        <w:rPr>
          <w:rFonts w:ascii="Century" w:hAnsi="Century"/>
          <w:b/>
          <w:sz w:val="24"/>
          <w:szCs w:val="24"/>
        </w:rPr>
      </w:pPr>
      <w:r w:rsidRPr="0009011E">
        <w:rPr>
          <w:rFonts w:ascii="Century" w:hAnsi="Century"/>
          <w:b/>
          <w:sz w:val="24"/>
          <w:szCs w:val="24"/>
        </w:rPr>
        <w:t>Y DIRECCIÓN DE EMPRESAS</w:t>
      </w:r>
    </w:p>
    <w:p w:rsidR="002170C0" w:rsidRPr="0009011E" w:rsidRDefault="002170C0" w:rsidP="0009011E">
      <w:pPr>
        <w:tabs>
          <w:tab w:val="left" w:pos="0"/>
        </w:tabs>
        <w:spacing w:before="240" w:after="240"/>
        <w:jc w:val="center"/>
        <w:rPr>
          <w:rFonts w:ascii="Century" w:hAnsi="Century"/>
          <w:b/>
          <w:sz w:val="24"/>
          <w:szCs w:val="24"/>
        </w:rPr>
      </w:pPr>
      <w:r w:rsidRPr="0009011E">
        <w:rPr>
          <w:rFonts w:ascii="Century" w:hAnsi="Century"/>
          <w:b/>
          <w:sz w:val="24"/>
          <w:szCs w:val="24"/>
        </w:rPr>
        <w:t>OCTUBRE 2017</w:t>
      </w:r>
    </w:p>
    <w:p w:rsidR="002170C0" w:rsidRDefault="002170C0" w:rsidP="002D11BC">
      <w:pPr>
        <w:tabs>
          <w:tab w:val="left" w:pos="0"/>
        </w:tabs>
        <w:spacing w:after="240" w:line="360" w:lineRule="auto"/>
        <w:jc w:val="both"/>
        <w:rPr>
          <w:rFonts w:ascii="Century" w:hAnsi="Century"/>
          <w:b/>
          <w:sz w:val="24"/>
          <w:szCs w:val="24"/>
        </w:rPr>
      </w:pPr>
    </w:p>
    <w:p w:rsidR="002170C0" w:rsidRPr="00BA1D6B" w:rsidRDefault="002170C0" w:rsidP="0009011E">
      <w:pPr>
        <w:tabs>
          <w:tab w:val="left" w:pos="0"/>
        </w:tabs>
        <w:spacing w:after="0" w:line="360" w:lineRule="auto"/>
        <w:jc w:val="center"/>
        <w:rPr>
          <w:rFonts w:ascii="Century" w:hAnsi="Century"/>
          <w:b/>
          <w:sz w:val="24"/>
          <w:szCs w:val="24"/>
        </w:rPr>
      </w:pPr>
      <w:r w:rsidRPr="00BA1D6B">
        <w:rPr>
          <w:rFonts w:ascii="Century" w:hAnsi="Century"/>
          <w:b/>
          <w:sz w:val="24"/>
          <w:szCs w:val="24"/>
        </w:rPr>
        <w:t>AUTORA</w:t>
      </w:r>
      <w:r w:rsidRPr="009258B5">
        <w:rPr>
          <w:rFonts w:cstheme="minorHAnsi"/>
          <w:b/>
          <w:sz w:val="24"/>
          <w:szCs w:val="24"/>
        </w:rPr>
        <w:t>:</w:t>
      </w:r>
      <w:r w:rsidRPr="00BA1D6B">
        <w:rPr>
          <w:rFonts w:ascii="Century" w:hAnsi="Century"/>
          <w:b/>
          <w:sz w:val="24"/>
          <w:szCs w:val="24"/>
        </w:rPr>
        <w:t xml:space="preserve"> MARÍA CRISTINA MARÍN DATORRE</w:t>
      </w:r>
    </w:p>
    <w:p w:rsidR="00150638" w:rsidRDefault="002170C0" w:rsidP="007A3E2C">
      <w:pPr>
        <w:tabs>
          <w:tab w:val="left" w:pos="0"/>
        </w:tabs>
        <w:spacing w:after="240" w:line="240" w:lineRule="auto"/>
        <w:jc w:val="center"/>
        <w:rPr>
          <w:rFonts w:ascii="Century" w:hAnsi="Century"/>
          <w:sz w:val="24"/>
          <w:szCs w:val="24"/>
        </w:rPr>
      </w:pPr>
      <w:r w:rsidRPr="00BA1D6B">
        <w:rPr>
          <w:rFonts w:ascii="Century" w:hAnsi="Century"/>
          <w:b/>
          <w:sz w:val="24"/>
          <w:szCs w:val="24"/>
        </w:rPr>
        <w:t>DIRECTORA</w:t>
      </w:r>
      <w:r w:rsidRPr="00BA1D6B">
        <w:rPr>
          <w:rFonts w:cstheme="minorHAnsi"/>
          <w:b/>
          <w:sz w:val="24"/>
          <w:szCs w:val="24"/>
        </w:rPr>
        <w:t>:</w:t>
      </w:r>
      <w:r w:rsidRPr="00BA1D6B">
        <w:rPr>
          <w:rFonts w:ascii="Century" w:hAnsi="Century"/>
          <w:b/>
          <w:sz w:val="24"/>
          <w:szCs w:val="24"/>
        </w:rPr>
        <w:t xml:space="preserve"> MARÍA DEL CARMEN PASTOR DEL PINO</w:t>
      </w:r>
      <w:r>
        <w:rPr>
          <w:rFonts w:ascii="Century" w:hAnsi="Century"/>
          <w:sz w:val="24"/>
          <w:szCs w:val="24"/>
        </w:rPr>
        <w:br w:type="page"/>
      </w:r>
    </w:p>
    <w:p w:rsidR="00150638" w:rsidRDefault="00150638" w:rsidP="002D11BC">
      <w:pPr>
        <w:spacing w:after="240" w:line="360" w:lineRule="auto"/>
        <w:jc w:val="both"/>
        <w:rPr>
          <w:rFonts w:ascii="Century" w:hAnsi="Century"/>
          <w:sz w:val="24"/>
          <w:szCs w:val="24"/>
        </w:rPr>
      </w:pPr>
    </w:p>
    <w:p w:rsidR="00245EA8" w:rsidRDefault="00687256" w:rsidP="00893EE9">
      <w:pPr>
        <w:spacing w:after="240" w:line="360" w:lineRule="auto"/>
        <w:jc w:val="both"/>
        <w:rPr>
          <w:rFonts w:ascii="Century" w:hAnsi="Century"/>
          <w:sz w:val="24"/>
          <w:szCs w:val="24"/>
        </w:rPr>
      </w:pPr>
      <w:r w:rsidRPr="00BA1D6B">
        <w:rPr>
          <w:rFonts w:ascii="Century" w:hAnsi="Century"/>
          <w:b/>
          <w:sz w:val="24"/>
          <w:szCs w:val="24"/>
        </w:rPr>
        <w:t>1. INTRODUCCIÓN</w:t>
      </w:r>
      <w:r w:rsidRPr="002C13F3">
        <w:rPr>
          <w:rFonts w:ascii="Century" w:hAnsi="Century"/>
          <w:sz w:val="24"/>
          <w:szCs w:val="24"/>
        </w:rPr>
        <w:t>………………………………………………………………</w:t>
      </w:r>
      <w:r w:rsidR="0042244D">
        <w:rPr>
          <w:rFonts w:ascii="Century" w:hAnsi="Century"/>
          <w:sz w:val="24"/>
          <w:szCs w:val="24"/>
        </w:rPr>
        <w:t>p.</w:t>
      </w:r>
      <w:r w:rsidR="00DB47CF">
        <w:rPr>
          <w:rFonts w:ascii="Century" w:hAnsi="Century"/>
          <w:sz w:val="24"/>
          <w:szCs w:val="24"/>
        </w:rPr>
        <w:t xml:space="preserve"> </w:t>
      </w:r>
      <w:r w:rsidR="000A0598">
        <w:rPr>
          <w:rFonts w:ascii="Century" w:hAnsi="Century"/>
          <w:sz w:val="24"/>
          <w:szCs w:val="24"/>
        </w:rPr>
        <w:t>5</w:t>
      </w:r>
    </w:p>
    <w:p w:rsidR="00150638" w:rsidRPr="00150638" w:rsidRDefault="00150638" w:rsidP="00893EE9">
      <w:pPr>
        <w:spacing w:after="240" w:line="360" w:lineRule="auto"/>
        <w:jc w:val="both"/>
        <w:rPr>
          <w:rFonts w:ascii="Century" w:hAnsi="Century"/>
          <w:sz w:val="18"/>
          <w:szCs w:val="18"/>
        </w:rPr>
      </w:pPr>
    </w:p>
    <w:p w:rsidR="003126CE" w:rsidRPr="002C13F3" w:rsidRDefault="00687256" w:rsidP="00893EE9">
      <w:pPr>
        <w:tabs>
          <w:tab w:val="left" w:pos="7230"/>
        </w:tabs>
        <w:spacing w:after="240" w:line="360" w:lineRule="auto"/>
        <w:jc w:val="both"/>
        <w:rPr>
          <w:rFonts w:ascii="Century" w:hAnsi="Century"/>
          <w:sz w:val="24"/>
          <w:szCs w:val="24"/>
        </w:rPr>
      </w:pPr>
      <w:r w:rsidRPr="00180827">
        <w:rPr>
          <w:rFonts w:ascii="Century" w:hAnsi="Century"/>
          <w:b/>
          <w:sz w:val="24"/>
          <w:szCs w:val="24"/>
        </w:rPr>
        <w:t>2</w:t>
      </w:r>
      <w:r w:rsidR="003126CE" w:rsidRPr="00180827">
        <w:rPr>
          <w:rFonts w:ascii="Century" w:hAnsi="Century"/>
          <w:b/>
          <w:sz w:val="24"/>
          <w:szCs w:val="24"/>
        </w:rPr>
        <w:t>.</w:t>
      </w:r>
      <w:r w:rsidR="003126CE" w:rsidRPr="00BA1D6B">
        <w:rPr>
          <w:rFonts w:ascii="Century" w:hAnsi="Century"/>
          <w:b/>
          <w:sz w:val="24"/>
          <w:szCs w:val="24"/>
        </w:rPr>
        <w:t xml:space="preserve"> EL IMPUESTO SOBRE SUCESIONES EN LA UNIÓN EUROPEA</w:t>
      </w:r>
      <w:r w:rsidR="0042244D">
        <w:rPr>
          <w:rFonts w:ascii="Century" w:hAnsi="Century"/>
          <w:sz w:val="24"/>
          <w:szCs w:val="24"/>
        </w:rPr>
        <w:t>…</w:t>
      </w:r>
      <w:r w:rsidR="00DB47CF">
        <w:rPr>
          <w:rFonts w:ascii="Century" w:hAnsi="Century"/>
          <w:sz w:val="24"/>
          <w:szCs w:val="24"/>
        </w:rPr>
        <w:t>.</w:t>
      </w:r>
      <w:r w:rsidR="0042244D">
        <w:rPr>
          <w:rFonts w:ascii="Century" w:hAnsi="Century"/>
          <w:sz w:val="24"/>
          <w:szCs w:val="24"/>
        </w:rPr>
        <w:t>p.</w:t>
      </w:r>
      <w:r w:rsidR="00DB47CF">
        <w:rPr>
          <w:rFonts w:ascii="Century" w:hAnsi="Century"/>
          <w:sz w:val="24"/>
          <w:szCs w:val="24"/>
        </w:rPr>
        <w:t xml:space="preserve"> </w:t>
      </w:r>
      <w:r w:rsidR="000A0598">
        <w:rPr>
          <w:rFonts w:ascii="Century" w:hAnsi="Century"/>
          <w:sz w:val="24"/>
          <w:szCs w:val="24"/>
        </w:rPr>
        <w:t>7</w:t>
      </w:r>
    </w:p>
    <w:p w:rsidR="003126CE" w:rsidRPr="002C13F3" w:rsidRDefault="00687256" w:rsidP="00893EE9">
      <w:pPr>
        <w:tabs>
          <w:tab w:val="left" w:pos="7230"/>
        </w:tabs>
        <w:spacing w:after="240" w:line="360" w:lineRule="auto"/>
        <w:ind w:left="284"/>
        <w:jc w:val="both"/>
        <w:rPr>
          <w:rFonts w:ascii="Century" w:hAnsi="Century"/>
          <w:sz w:val="24"/>
          <w:szCs w:val="24"/>
        </w:rPr>
      </w:pPr>
      <w:r w:rsidRPr="002C13F3">
        <w:rPr>
          <w:rFonts w:ascii="Century" w:hAnsi="Century"/>
          <w:sz w:val="24"/>
          <w:szCs w:val="24"/>
        </w:rPr>
        <w:t>2</w:t>
      </w:r>
      <w:r w:rsidR="003126CE" w:rsidRPr="002C13F3">
        <w:rPr>
          <w:rFonts w:ascii="Century" w:hAnsi="Century"/>
          <w:sz w:val="24"/>
          <w:szCs w:val="24"/>
        </w:rPr>
        <w:t xml:space="preserve">.1. La regulación fiscal en el ámbito </w:t>
      </w:r>
      <w:r w:rsidR="00EA6850">
        <w:rPr>
          <w:rFonts w:ascii="Century" w:hAnsi="Century"/>
          <w:sz w:val="24"/>
          <w:szCs w:val="24"/>
        </w:rPr>
        <w:t>de la Unión Europea</w:t>
      </w:r>
      <w:r w:rsidR="00EA6850" w:rsidRPr="00514069">
        <w:rPr>
          <w:rFonts w:cstheme="minorHAnsi"/>
          <w:sz w:val="24"/>
          <w:szCs w:val="24"/>
        </w:rPr>
        <w:t>:</w:t>
      </w:r>
      <w:r w:rsidR="00EA6850">
        <w:rPr>
          <w:rFonts w:ascii="Century" w:hAnsi="Century"/>
          <w:sz w:val="24"/>
          <w:szCs w:val="24"/>
        </w:rPr>
        <w:t xml:space="preserve"> armonización versus </w:t>
      </w:r>
      <w:r w:rsidR="003126CE" w:rsidRPr="002C13F3">
        <w:rPr>
          <w:rFonts w:ascii="Century" w:hAnsi="Century"/>
          <w:sz w:val="24"/>
          <w:szCs w:val="24"/>
        </w:rPr>
        <w:t>coordinación</w:t>
      </w:r>
      <w:r w:rsidR="00EA6850">
        <w:rPr>
          <w:rFonts w:ascii="Century" w:hAnsi="Century"/>
          <w:sz w:val="24"/>
          <w:szCs w:val="24"/>
        </w:rPr>
        <w:t>……</w:t>
      </w:r>
      <w:r w:rsidR="0042244D">
        <w:rPr>
          <w:rFonts w:ascii="Century" w:hAnsi="Century"/>
          <w:sz w:val="24"/>
          <w:szCs w:val="24"/>
        </w:rPr>
        <w:t>………………………………………………………</w:t>
      </w:r>
      <w:r w:rsidR="00DB47CF">
        <w:rPr>
          <w:rFonts w:ascii="Century" w:hAnsi="Century"/>
          <w:sz w:val="24"/>
          <w:szCs w:val="24"/>
        </w:rPr>
        <w:t>.</w:t>
      </w:r>
      <w:r w:rsidR="0042244D">
        <w:rPr>
          <w:rFonts w:ascii="Century" w:hAnsi="Century"/>
          <w:sz w:val="24"/>
          <w:szCs w:val="24"/>
        </w:rPr>
        <w:t>p.</w:t>
      </w:r>
      <w:r w:rsidR="00DB47CF">
        <w:rPr>
          <w:rFonts w:ascii="Century" w:hAnsi="Century"/>
          <w:sz w:val="24"/>
          <w:szCs w:val="24"/>
        </w:rPr>
        <w:t xml:space="preserve"> </w:t>
      </w:r>
      <w:r w:rsidR="000A0598">
        <w:rPr>
          <w:rFonts w:ascii="Century" w:hAnsi="Century"/>
          <w:sz w:val="24"/>
          <w:szCs w:val="24"/>
        </w:rPr>
        <w:t>7</w:t>
      </w:r>
    </w:p>
    <w:p w:rsidR="003126CE" w:rsidRPr="002C13F3" w:rsidRDefault="00687256" w:rsidP="00893EE9">
      <w:pPr>
        <w:tabs>
          <w:tab w:val="left" w:pos="7230"/>
        </w:tabs>
        <w:spacing w:after="240" w:line="360" w:lineRule="auto"/>
        <w:ind w:left="284"/>
        <w:jc w:val="both"/>
        <w:rPr>
          <w:rFonts w:ascii="Century" w:hAnsi="Century"/>
          <w:sz w:val="24"/>
          <w:szCs w:val="24"/>
        </w:rPr>
      </w:pPr>
      <w:r w:rsidRPr="002C13F3">
        <w:rPr>
          <w:rFonts w:ascii="Century" w:hAnsi="Century"/>
          <w:sz w:val="24"/>
          <w:szCs w:val="24"/>
        </w:rPr>
        <w:t>2</w:t>
      </w:r>
      <w:r w:rsidR="003126CE" w:rsidRPr="002C13F3">
        <w:rPr>
          <w:rFonts w:ascii="Century" w:hAnsi="Century"/>
          <w:sz w:val="24"/>
          <w:szCs w:val="24"/>
        </w:rPr>
        <w:t>.2. El Impuesto sobre Sucesiones como impuesto no armonizado</w:t>
      </w:r>
      <w:r w:rsidR="00DB47CF">
        <w:rPr>
          <w:rFonts w:ascii="Century" w:hAnsi="Century"/>
          <w:sz w:val="24"/>
          <w:szCs w:val="24"/>
        </w:rPr>
        <w:t>……</w:t>
      </w:r>
      <w:r w:rsidR="0042244D">
        <w:rPr>
          <w:rFonts w:ascii="Century" w:hAnsi="Century"/>
          <w:sz w:val="24"/>
          <w:szCs w:val="24"/>
        </w:rPr>
        <w:t>p.</w:t>
      </w:r>
      <w:r w:rsidR="00DB47CF">
        <w:rPr>
          <w:rFonts w:ascii="Century" w:hAnsi="Century"/>
          <w:sz w:val="24"/>
          <w:szCs w:val="24"/>
        </w:rPr>
        <w:t xml:space="preserve"> </w:t>
      </w:r>
      <w:r w:rsidR="000A0598">
        <w:rPr>
          <w:rFonts w:ascii="Century" w:hAnsi="Century"/>
          <w:sz w:val="24"/>
          <w:szCs w:val="24"/>
        </w:rPr>
        <w:t>17</w:t>
      </w:r>
    </w:p>
    <w:p w:rsidR="003126CE" w:rsidRDefault="00687256" w:rsidP="00893EE9">
      <w:pPr>
        <w:tabs>
          <w:tab w:val="left" w:pos="7230"/>
        </w:tabs>
        <w:spacing w:after="240" w:line="360" w:lineRule="auto"/>
        <w:ind w:left="284"/>
        <w:jc w:val="both"/>
        <w:rPr>
          <w:rFonts w:ascii="Century" w:hAnsi="Century"/>
          <w:sz w:val="24"/>
          <w:szCs w:val="24"/>
        </w:rPr>
      </w:pPr>
      <w:r w:rsidRPr="002C13F3">
        <w:rPr>
          <w:rFonts w:ascii="Century" w:hAnsi="Century"/>
          <w:sz w:val="24"/>
          <w:szCs w:val="24"/>
        </w:rPr>
        <w:t>2</w:t>
      </w:r>
      <w:r w:rsidR="003126CE" w:rsidRPr="002C13F3">
        <w:rPr>
          <w:rFonts w:ascii="Century" w:hAnsi="Century"/>
          <w:sz w:val="24"/>
          <w:szCs w:val="24"/>
        </w:rPr>
        <w:t xml:space="preserve">.3. El Impuesto sobre Sucesiones en los </w:t>
      </w:r>
      <w:r w:rsidR="00DB47CF">
        <w:rPr>
          <w:rFonts w:ascii="Century" w:hAnsi="Century"/>
          <w:sz w:val="24"/>
          <w:szCs w:val="24"/>
        </w:rPr>
        <w:t>Estados miembros…………..</w:t>
      </w:r>
      <w:r w:rsidR="0042244D">
        <w:rPr>
          <w:rFonts w:ascii="Century" w:hAnsi="Century"/>
          <w:sz w:val="24"/>
          <w:szCs w:val="24"/>
        </w:rPr>
        <w:t>p.</w:t>
      </w:r>
      <w:r w:rsidR="00DB47CF">
        <w:rPr>
          <w:rFonts w:ascii="Century" w:hAnsi="Century"/>
          <w:sz w:val="24"/>
          <w:szCs w:val="24"/>
        </w:rPr>
        <w:t xml:space="preserve"> </w:t>
      </w:r>
      <w:r w:rsidR="000A0598">
        <w:rPr>
          <w:rFonts w:ascii="Century" w:hAnsi="Century"/>
          <w:sz w:val="24"/>
          <w:szCs w:val="24"/>
        </w:rPr>
        <w:t>25</w:t>
      </w:r>
    </w:p>
    <w:p w:rsidR="00473C8D" w:rsidRDefault="00180827" w:rsidP="00893EE9">
      <w:pPr>
        <w:spacing w:after="240" w:line="360" w:lineRule="auto"/>
        <w:ind w:left="709"/>
        <w:jc w:val="both"/>
        <w:rPr>
          <w:rFonts w:ascii="Century" w:hAnsi="Century"/>
          <w:sz w:val="24"/>
          <w:szCs w:val="24"/>
        </w:rPr>
      </w:pPr>
      <w:r>
        <w:rPr>
          <w:rFonts w:ascii="Century" w:hAnsi="Century"/>
          <w:sz w:val="24"/>
          <w:szCs w:val="24"/>
        </w:rPr>
        <w:t xml:space="preserve">2.3.1. </w:t>
      </w:r>
      <w:r w:rsidR="00473C8D" w:rsidRPr="00473C8D">
        <w:rPr>
          <w:rFonts w:ascii="Century" w:hAnsi="Century"/>
          <w:sz w:val="24"/>
          <w:szCs w:val="24"/>
        </w:rPr>
        <w:t>Análisis sobre tres elementos</w:t>
      </w:r>
      <w:r w:rsidR="00EA6850">
        <w:rPr>
          <w:rFonts w:ascii="Century" w:hAnsi="Century"/>
          <w:sz w:val="24"/>
          <w:szCs w:val="24"/>
        </w:rPr>
        <w:t xml:space="preserve"> comparativos</w:t>
      </w:r>
      <w:r w:rsidR="00473C8D" w:rsidRPr="00514069">
        <w:rPr>
          <w:rFonts w:cstheme="minorHAnsi"/>
          <w:sz w:val="24"/>
          <w:szCs w:val="24"/>
        </w:rPr>
        <w:t>:</w:t>
      </w:r>
      <w:r>
        <w:rPr>
          <w:rFonts w:ascii="Century" w:hAnsi="Century"/>
          <w:sz w:val="24"/>
          <w:szCs w:val="24"/>
        </w:rPr>
        <w:t xml:space="preserve"> </w:t>
      </w:r>
      <w:r w:rsidR="001046E1">
        <w:rPr>
          <w:rFonts w:ascii="Century" w:hAnsi="Century"/>
          <w:sz w:val="24"/>
          <w:szCs w:val="24"/>
        </w:rPr>
        <w:t>c</w:t>
      </w:r>
      <w:r w:rsidR="00473C8D" w:rsidRPr="00473C8D">
        <w:rPr>
          <w:rFonts w:ascii="Century" w:hAnsi="Century"/>
          <w:sz w:val="24"/>
          <w:szCs w:val="24"/>
        </w:rPr>
        <w:t>riterio de sujeción,  tipo de gravamen y beneficios fiscales</w:t>
      </w:r>
      <w:r>
        <w:rPr>
          <w:rFonts w:ascii="Century" w:hAnsi="Century"/>
          <w:sz w:val="24"/>
          <w:szCs w:val="24"/>
        </w:rPr>
        <w:t>……………………</w:t>
      </w:r>
      <w:r w:rsidR="000A0598">
        <w:rPr>
          <w:rFonts w:ascii="Century" w:hAnsi="Century"/>
          <w:sz w:val="24"/>
          <w:szCs w:val="24"/>
        </w:rPr>
        <w:t>…………...</w:t>
      </w:r>
      <w:r w:rsidR="0042244D">
        <w:rPr>
          <w:rFonts w:ascii="Century" w:hAnsi="Century"/>
          <w:sz w:val="24"/>
          <w:szCs w:val="24"/>
        </w:rPr>
        <w:t>p.</w:t>
      </w:r>
      <w:r w:rsidR="00DB47CF">
        <w:rPr>
          <w:rFonts w:ascii="Century" w:hAnsi="Century"/>
          <w:sz w:val="24"/>
          <w:szCs w:val="24"/>
        </w:rPr>
        <w:t xml:space="preserve"> </w:t>
      </w:r>
      <w:r w:rsidR="000A0598">
        <w:rPr>
          <w:rFonts w:ascii="Century" w:hAnsi="Century"/>
          <w:sz w:val="24"/>
          <w:szCs w:val="24"/>
        </w:rPr>
        <w:t>25</w:t>
      </w:r>
    </w:p>
    <w:p w:rsidR="00245EA8" w:rsidRPr="00C37027" w:rsidRDefault="00C37027" w:rsidP="00893EE9">
      <w:pPr>
        <w:pStyle w:val="HTMLconformatoprevio"/>
        <w:tabs>
          <w:tab w:val="clear" w:pos="916"/>
          <w:tab w:val="left" w:pos="709"/>
        </w:tabs>
        <w:spacing w:after="240" w:line="360" w:lineRule="auto"/>
        <w:ind w:left="709"/>
        <w:jc w:val="both"/>
        <w:rPr>
          <w:rFonts w:ascii="Century" w:eastAsiaTheme="minorHAnsi" w:hAnsi="Century" w:cstheme="minorBidi"/>
          <w:sz w:val="24"/>
          <w:szCs w:val="24"/>
          <w:lang w:eastAsia="en-US"/>
        </w:rPr>
      </w:pPr>
      <w:r w:rsidRPr="00C37027">
        <w:rPr>
          <w:rFonts w:ascii="Century" w:eastAsiaTheme="minorHAnsi" w:hAnsi="Century" w:cstheme="minorBidi"/>
          <w:sz w:val="24"/>
          <w:szCs w:val="24"/>
          <w:lang w:eastAsia="en-US"/>
        </w:rPr>
        <w:t xml:space="preserve">2.3.2. </w:t>
      </w:r>
      <w:r w:rsidR="00EA6850">
        <w:rPr>
          <w:rFonts w:ascii="Century" w:eastAsiaTheme="minorHAnsi" w:hAnsi="Century" w:cstheme="minorBidi"/>
          <w:sz w:val="24"/>
          <w:szCs w:val="24"/>
          <w:lang w:eastAsia="en-US"/>
        </w:rPr>
        <w:t>Problemas derivados de las diferentes regulaciones esta</w:t>
      </w:r>
      <w:r w:rsidR="00DB47CF">
        <w:rPr>
          <w:rFonts w:ascii="Century" w:eastAsiaTheme="minorHAnsi" w:hAnsi="Century" w:cstheme="minorBidi"/>
          <w:sz w:val="24"/>
          <w:szCs w:val="24"/>
          <w:lang w:eastAsia="en-US"/>
        </w:rPr>
        <w:t>tales……………………………………………………………………</w:t>
      </w:r>
      <w:r w:rsidR="0042244D">
        <w:rPr>
          <w:rFonts w:ascii="Century" w:eastAsiaTheme="minorHAnsi" w:hAnsi="Century" w:cstheme="minorBidi"/>
          <w:sz w:val="24"/>
          <w:szCs w:val="24"/>
          <w:lang w:eastAsia="en-US"/>
        </w:rPr>
        <w:t>p</w:t>
      </w:r>
      <w:r w:rsidR="00A36042">
        <w:rPr>
          <w:rFonts w:ascii="Century" w:eastAsiaTheme="minorHAnsi" w:hAnsi="Century" w:cstheme="minorBidi"/>
          <w:sz w:val="24"/>
          <w:szCs w:val="24"/>
          <w:lang w:eastAsia="en-US"/>
        </w:rPr>
        <w:t>.</w:t>
      </w:r>
      <w:r w:rsidR="00DB47CF">
        <w:rPr>
          <w:rFonts w:ascii="Century" w:eastAsiaTheme="minorHAnsi" w:hAnsi="Century" w:cstheme="minorBidi"/>
          <w:sz w:val="24"/>
          <w:szCs w:val="24"/>
          <w:lang w:eastAsia="en-US"/>
        </w:rPr>
        <w:t xml:space="preserve"> </w:t>
      </w:r>
      <w:r w:rsidR="000A0598">
        <w:rPr>
          <w:rFonts w:ascii="Century" w:eastAsiaTheme="minorHAnsi" w:hAnsi="Century" w:cstheme="minorBidi"/>
          <w:sz w:val="24"/>
          <w:szCs w:val="24"/>
          <w:lang w:eastAsia="en-US"/>
        </w:rPr>
        <w:t>38</w:t>
      </w:r>
    </w:p>
    <w:p w:rsidR="00245EA8" w:rsidRPr="00D8022D" w:rsidRDefault="00245EA8" w:rsidP="00893EE9">
      <w:pPr>
        <w:spacing w:after="240" w:line="360" w:lineRule="auto"/>
        <w:jc w:val="both"/>
        <w:rPr>
          <w:rFonts w:ascii="Century" w:hAnsi="Century"/>
          <w:sz w:val="18"/>
          <w:szCs w:val="18"/>
        </w:rPr>
      </w:pPr>
    </w:p>
    <w:p w:rsidR="008F1F8C" w:rsidRPr="002C13F3" w:rsidRDefault="00687256" w:rsidP="00893EE9">
      <w:pPr>
        <w:spacing w:after="240" w:line="360" w:lineRule="auto"/>
        <w:jc w:val="both"/>
        <w:rPr>
          <w:rFonts w:ascii="Century" w:hAnsi="Century"/>
          <w:sz w:val="24"/>
          <w:szCs w:val="24"/>
        </w:rPr>
      </w:pPr>
      <w:r w:rsidRPr="00BA1D6B">
        <w:rPr>
          <w:rFonts w:ascii="Century" w:hAnsi="Century"/>
          <w:b/>
          <w:sz w:val="24"/>
          <w:szCs w:val="24"/>
        </w:rPr>
        <w:t>3</w:t>
      </w:r>
      <w:r w:rsidR="008F1F8C" w:rsidRPr="00BA1D6B">
        <w:rPr>
          <w:rFonts w:ascii="Century" w:hAnsi="Century"/>
          <w:b/>
          <w:sz w:val="24"/>
          <w:szCs w:val="24"/>
        </w:rPr>
        <w:t>. EL IMPUESTO SO</w:t>
      </w:r>
      <w:r w:rsidR="0042244D" w:rsidRPr="00BA1D6B">
        <w:rPr>
          <w:rFonts w:ascii="Century" w:hAnsi="Century"/>
          <w:b/>
          <w:sz w:val="24"/>
          <w:szCs w:val="24"/>
        </w:rPr>
        <w:t>B</w:t>
      </w:r>
      <w:r w:rsidR="00B166FE" w:rsidRPr="00BA1D6B">
        <w:rPr>
          <w:rFonts w:ascii="Century" w:hAnsi="Century"/>
          <w:b/>
          <w:sz w:val="24"/>
          <w:szCs w:val="24"/>
        </w:rPr>
        <w:t>RE SUCESIONES EN ESPAÑA</w:t>
      </w:r>
      <w:r w:rsidR="00B166FE">
        <w:rPr>
          <w:rFonts w:ascii="Century" w:hAnsi="Century"/>
          <w:sz w:val="24"/>
          <w:szCs w:val="24"/>
        </w:rPr>
        <w:t>..........................</w:t>
      </w:r>
      <w:r w:rsidR="0042244D">
        <w:rPr>
          <w:rFonts w:ascii="Century" w:hAnsi="Century"/>
          <w:sz w:val="24"/>
          <w:szCs w:val="24"/>
        </w:rPr>
        <w:t>p</w:t>
      </w:r>
      <w:r w:rsidR="00A36042">
        <w:rPr>
          <w:rFonts w:ascii="Century" w:hAnsi="Century"/>
          <w:sz w:val="24"/>
          <w:szCs w:val="24"/>
        </w:rPr>
        <w:t>.</w:t>
      </w:r>
      <w:r w:rsidR="00DB47CF">
        <w:rPr>
          <w:rFonts w:ascii="Century" w:hAnsi="Century"/>
          <w:sz w:val="24"/>
          <w:szCs w:val="24"/>
        </w:rPr>
        <w:t xml:space="preserve"> </w:t>
      </w:r>
      <w:r w:rsidR="000A0598">
        <w:rPr>
          <w:rFonts w:ascii="Century" w:hAnsi="Century"/>
          <w:sz w:val="24"/>
          <w:szCs w:val="24"/>
        </w:rPr>
        <w:t>41</w:t>
      </w:r>
    </w:p>
    <w:p w:rsidR="00CE1840" w:rsidRPr="002C13F3" w:rsidRDefault="00687256" w:rsidP="00893EE9">
      <w:pPr>
        <w:spacing w:after="240" w:line="360" w:lineRule="auto"/>
        <w:ind w:left="284"/>
        <w:jc w:val="both"/>
        <w:rPr>
          <w:rFonts w:ascii="Century" w:hAnsi="Century"/>
          <w:sz w:val="24"/>
          <w:szCs w:val="24"/>
        </w:rPr>
      </w:pPr>
      <w:r w:rsidRPr="002C13F3">
        <w:rPr>
          <w:rFonts w:ascii="Century" w:hAnsi="Century"/>
          <w:sz w:val="24"/>
          <w:szCs w:val="24"/>
        </w:rPr>
        <w:t>3</w:t>
      </w:r>
      <w:r w:rsidR="008F1F8C" w:rsidRPr="002C13F3">
        <w:rPr>
          <w:rFonts w:ascii="Century" w:hAnsi="Century"/>
          <w:sz w:val="24"/>
          <w:szCs w:val="24"/>
        </w:rPr>
        <w:t xml:space="preserve">.1. </w:t>
      </w:r>
      <w:r w:rsidR="00CE1840" w:rsidRPr="002C13F3">
        <w:rPr>
          <w:rFonts w:ascii="Century" w:hAnsi="Century"/>
          <w:sz w:val="24"/>
          <w:szCs w:val="24"/>
        </w:rPr>
        <w:t>Potestad financiera d</w:t>
      </w:r>
      <w:r w:rsidR="00FC5C1B">
        <w:rPr>
          <w:rFonts w:ascii="Century" w:hAnsi="Century"/>
          <w:sz w:val="24"/>
          <w:szCs w:val="24"/>
        </w:rPr>
        <w:t>e las Comunidades Autónomas…………...</w:t>
      </w:r>
      <w:r w:rsidR="00CE1840" w:rsidRPr="002C13F3">
        <w:rPr>
          <w:rFonts w:ascii="Century" w:hAnsi="Century"/>
          <w:sz w:val="24"/>
          <w:szCs w:val="24"/>
        </w:rPr>
        <w:t>…</w:t>
      </w:r>
      <w:r w:rsidR="0042244D">
        <w:rPr>
          <w:rFonts w:ascii="Century" w:hAnsi="Century"/>
          <w:sz w:val="24"/>
          <w:szCs w:val="24"/>
        </w:rPr>
        <w:t>p.</w:t>
      </w:r>
      <w:r w:rsidR="00DB47CF">
        <w:rPr>
          <w:rFonts w:ascii="Century" w:hAnsi="Century"/>
          <w:sz w:val="24"/>
          <w:szCs w:val="24"/>
        </w:rPr>
        <w:t xml:space="preserve"> </w:t>
      </w:r>
      <w:r w:rsidR="000A0598">
        <w:rPr>
          <w:rFonts w:ascii="Century" w:hAnsi="Century"/>
          <w:sz w:val="24"/>
          <w:szCs w:val="24"/>
        </w:rPr>
        <w:t>41</w:t>
      </w:r>
    </w:p>
    <w:p w:rsidR="008F1F8C" w:rsidRPr="002C13F3" w:rsidRDefault="00687256" w:rsidP="00893EE9">
      <w:pPr>
        <w:spacing w:after="240" w:line="360" w:lineRule="auto"/>
        <w:ind w:left="284"/>
        <w:jc w:val="both"/>
        <w:rPr>
          <w:rFonts w:ascii="Century" w:hAnsi="Century"/>
          <w:sz w:val="24"/>
          <w:szCs w:val="24"/>
        </w:rPr>
      </w:pPr>
      <w:r w:rsidRPr="002C13F3">
        <w:rPr>
          <w:rFonts w:ascii="Century" w:hAnsi="Century"/>
          <w:sz w:val="24"/>
          <w:szCs w:val="24"/>
        </w:rPr>
        <w:t>3</w:t>
      </w:r>
      <w:r w:rsidR="00EA6850">
        <w:rPr>
          <w:rFonts w:ascii="Century" w:hAnsi="Century"/>
          <w:sz w:val="24"/>
          <w:szCs w:val="24"/>
        </w:rPr>
        <w:t>.2. El I</w:t>
      </w:r>
      <w:r w:rsidR="008F1F8C" w:rsidRPr="002C13F3">
        <w:rPr>
          <w:rFonts w:ascii="Century" w:hAnsi="Century"/>
          <w:sz w:val="24"/>
          <w:szCs w:val="24"/>
        </w:rPr>
        <w:t>mpuesto sobre</w:t>
      </w:r>
      <w:r w:rsidR="007E2F70" w:rsidRPr="002C13F3">
        <w:rPr>
          <w:rFonts w:ascii="Century" w:hAnsi="Century"/>
          <w:sz w:val="24"/>
          <w:szCs w:val="24"/>
        </w:rPr>
        <w:t xml:space="preserve"> Sucesiones como impuesto cedido</w:t>
      </w:r>
      <w:r w:rsidR="00DB47CF">
        <w:rPr>
          <w:rFonts w:ascii="Century" w:hAnsi="Century"/>
          <w:sz w:val="24"/>
          <w:szCs w:val="24"/>
        </w:rPr>
        <w:t>………………</w:t>
      </w:r>
      <w:r w:rsidR="0042244D">
        <w:rPr>
          <w:rFonts w:ascii="Century" w:hAnsi="Century"/>
          <w:sz w:val="24"/>
          <w:szCs w:val="24"/>
        </w:rPr>
        <w:t>p.</w:t>
      </w:r>
      <w:r w:rsidR="00DB47CF">
        <w:rPr>
          <w:rFonts w:ascii="Century" w:hAnsi="Century"/>
          <w:sz w:val="24"/>
          <w:szCs w:val="24"/>
        </w:rPr>
        <w:t xml:space="preserve"> </w:t>
      </w:r>
      <w:r w:rsidR="000A0598">
        <w:rPr>
          <w:rFonts w:ascii="Century" w:hAnsi="Century"/>
          <w:sz w:val="24"/>
          <w:szCs w:val="24"/>
        </w:rPr>
        <w:t>49</w:t>
      </w:r>
    </w:p>
    <w:p w:rsidR="00CE1840" w:rsidRPr="002C13F3" w:rsidRDefault="00CE1840" w:rsidP="00893EE9">
      <w:pPr>
        <w:spacing w:after="240" w:line="360" w:lineRule="auto"/>
        <w:ind w:left="709"/>
        <w:jc w:val="both"/>
        <w:rPr>
          <w:rFonts w:ascii="Century" w:hAnsi="Century"/>
          <w:sz w:val="24"/>
          <w:szCs w:val="24"/>
        </w:rPr>
      </w:pPr>
      <w:r w:rsidRPr="002C13F3">
        <w:rPr>
          <w:rFonts w:ascii="Century" w:hAnsi="Century"/>
          <w:sz w:val="24"/>
          <w:szCs w:val="24"/>
        </w:rPr>
        <w:t>3.2.1.</w:t>
      </w:r>
      <w:r w:rsidR="008F1F8C" w:rsidRPr="002C13F3">
        <w:rPr>
          <w:rFonts w:ascii="Century" w:hAnsi="Century"/>
          <w:sz w:val="24"/>
          <w:szCs w:val="24"/>
        </w:rPr>
        <w:t xml:space="preserve"> Cuestiones generales…………………………………………</w:t>
      </w:r>
      <w:r w:rsidR="0042244D">
        <w:rPr>
          <w:rFonts w:ascii="Century" w:hAnsi="Century"/>
          <w:sz w:val="24"/>
          <w:szCs w:val="24"/>
        </w:rPr>
        <w:t>….</w:t>
      </w:r>
      <w:r w:rsidR="00DB47CF">
        <w:rPr>
          <w:rFonts w:ascii="Century" w:hAnsi="Century"/>
          <w:sz w:val="24"/>
          <w:szCs w:val="24"/>
        </w:rPr>
        <w:t>.</w:t>
      </w:r>
      <w:r w:rsidR="0042244D">
        <w:rPr>
          <w:rFonts w:ascii="Century" w:hAnsi="Century"/>
          <w:sz w:val="24"/>
          <w:szCs w:val="24"/>
        </w:rPr>
        <w:t>p.</w:t>
      </w:r>
      <w:r w:rsidR="00DB47CF">
        <w:rPr>
          <w:rFonts w:ascii="Century" w:hAnsi="Century"/>
          <w:sz w:val="24"/>
          <w:szCs w:val="24"/>
        </w:rPr>
        <w:t xml:space="preserve"> </w:t>
      </w:r>
      <w:r w:rsidR="000A0598">
        <w:rPr>
          <w:rFonts w:ascii="Century" w:hAnsi="Century"/>
          <w:sz w:val="24"/>
          <w:szCs w:val="24"/>
        </w:rPr>
        <w:t>49</w:t>
      </w:r>
    </w:p>
    <w:p w:rsidR="008F1F8C" w:rsidRDefault="00CE1840" w:rsidP="00893EE9">
      <w:pPr>
        <w:spacing w:after="240" w:line="360" w:lineRule="auto"/>
        <w:ind w:left="709"/>
        <w:jc w:val="both"/>
        <w:rPr>
          <w:rFonts w:ascii="Century" w:hAnsi="Century"/>
          <w:sz w:val="24"/>
          <w:szCs w:val="24"/>
        </w:rPr>
      </w:pPr>
      <w:r w:rsidRPr="002C13F3">
        <w:rPr>
          <w:rFonts w:ascii="Century" w:hAnsi="Century"/>
          <w:sz w:val="24"/>
          <w:szCs w:val="24"/>
        </w:rPr>
        <w:t>3.2.2.</w:t>
      </w:r>
      <w:r w:rsidR="008F1F8C" w:rsidRPr="002C13F3">
        <w:rPr>
          <w:rFonts w:ascii="Century" w:hAnsi="Century"/>
          <w:sz w:val="24"/>
          <w:szCs w:val="24"/>
        </w:rPr>
        <w:t xml:space="preserve"> Comparativa</w:t>
      </w:r>
      <w:r w:rsidR="00EA6850">
        <w:rPr>
          <w:rFonts w:ascii="Century" w:hAnsi="Century"/>
          <w:sz w:val="24"/>
          <w:szCs w:val="24"/>
        </w:rPr>
        <w:t xml:space="preserve"> reguladora</w:t>
      </w:r>
      <w:r w:rsidR="008F1F8C" w:rsidRPr="002C13F3">
        <w:rPr>
          <w:rFonts w:ascii="Century" w:hAnsi="Century"/>
          <w:sz w:val="24"/>
          <w:szCs w:val="24"/>
        </w:rPr>
        <w:t xml:space="preserve"> </w:t>
      </w:r>
      <w:r w:rsidR="00EA6850">
        <w:rPr>
          <w:rFonts w:ascii="Century" w:hAnsi="Century"/>
          <w:sz w:val="24"/>
          <w:szCs w:val="24"/>
        </w:rPr>
        <w:t>entre Comunidades Autónomas</w:t>
      </w:r>
      <w:r w:rsidR="00DB47CF">
        <w:rPr>
          <w:rFonts w:ascii="Century" w:hAnsi="Century"/>
          <w:sz w:val="24"/>
          <w:szCs w:val="24"/>
        </w:rPr>
        <w:t>....</w:t>
      </w:r>
      <w:r w:rsidR="0042244D">
        <w:rPr>
          <w:rFonts w:ascii="Century" w:hAnsi="Century"/>
          <w:sz w:val="24"/>
          <w:szCs w:val="24"/>
        </w:rPr>
        <w:t>p.</w:t>
      </w:r>
      <w:r w:rsidR="00DB47CF">
        <w:rPr>
          <w:rFonts w:ascii="Century" w:hAnsi="Century"/>
          <w:sz w:val="24"/>
          <w:szCs w:val="24"/>
        </w:rPr>
        <w:t xml:space="preserve"> </w:t>
      </w:r>
      <w:r w:rsidR="000A0598">
        <w:rPr>
          <w:rFonts w:ascii="Century" w:hAnsi="Century"/>
          <w:sz w:val="24"/>
          <w:szCs w:val="24"/>
        </w:rPr>
        <w:t>55</w:t>
      </w:r>
    </w:p>
    <w:p w:rsidR="00EA6850" w:rsidRDefault="00EA6850" w:rsidP="00893EE9">
      <w:pPr>
        <w:spacing w:after="240" w:line="360" w:lineRule="auto"/>
        <w:ind w:left="1418"/>
        <w:jc w:val="both"/>
        <w:rPr>
          <w:rFonts w:ascii="Century" w:hAnsi="Century"/>
          <w:sz w:val="24"/>
          <w:szCs w:val="24"/>
        </w:rPr>
      </w:pPr>
      <w:r>
        <w:rPr>
          <w:rFonts w:ascii="Century" w:hAnsi="Century"/>
          <w:sz w:val="24"/>
          <w:szCs w:val="24"/>
        </w:rPr>
        <w:t>A</w:t>
      </w:r>
      <w:r w:rsidR="00DB47CF">
        <w:rPr>
          <w:rFonts w:ascii="Century" w:hAnsi="Century"/>
          <w:sz w:val="24"/>
          <w:szCs w:val="24"/>
        </w:rPr>
        <w:t xml:space="preserve"> - Reducciones…………………………………………........</w:t>
      </w:r>
      <w:r w:rsidR="00514069">
        <w:rPr>
          <w:rFonts w:ascii="Century" w:hAnsi="Century"/>
          <w:sz w:val="24"/>
          <w:szCs w:val="24"/>
        </w:rPr>
        <w:t>.</w:t>
      </w:r>
      <w:r w:rsidR="00A36042">
        <w:rPr>
          <w:rFonts w:ascii="Century" w:hAnsi="Century"/>
          <w:sz w:val="24"/>
          <w:szCs w:val="24"/>
        </w:rPr>
        <w:t>....</w:t>
      </w:r>
      <w:r w:rsidR="00DB47CF">
        <w:rPr>
          <w:rFonts w:ascii="Century" w:hAnsi="Century"/>
          <w:sz w:val="24"/>
          <w:szCs w:val="24"/>
        </w:rPr>
        <w:t>.</w:t>
      </w:r>
      <w:r w:rsidR="00A36042">
        <w:rPr>
          <w:rFonts w:ascii="Century" w:hAnsi="Century"/>
          <w:sz w:val="24"/>
          <w:szCs w:val="24"/>
        </w:rPr>
        <w:t>p.</w:t>
      </w:r>
      <w:r w:rsidR="00DB47CF">
        <w:rPr>
          <w:rFonts w:ascii="Century" w:hAnsi="Century"/>
          <w:sz w:val="24"/>
          <w:szCs w:val="24"/>
        </w:rPr>
        <w:t xml:space="preserve"> </w:t>
      </w:r>
      <w:r w:rsidR="000A0598">
        <w:rPr>
          <w:rFonts w:ascii="Century" w:hAnsi="Century"/>
          <w:sz w:val="24"/>
          <w:szCs w:val="24"/>
        </w:rPr>
        <w:t>56</w:t>
      </w:r>
    </w:p>
    <w:p w:rsidR="00180827" w:rsidRDefault="00EA6850" w:rsidP="00893EE9">
      <w:pPr>
        <w:spacing w:after="240" w:line="360" w:lineRule="auto"/>
        <w:ind w:left="1843"/>
        <w:jc w:val="both"/>
        <w:rPr>
          <w:rFonts w:ascii="Century" w:hAnsi="Century"/>
          <w:sz w:val="24"/>
          <w:szCs w:val="24"/>
        </w:rPr>
      </w:pPr>
      <w:r>
        <w:rPr>
          <w:rFonts w:ascii="Century" w:hAnsi="Century"/>
          <w:sz w:val="24"/>
          <w:szCs w:val="24"/>
        </w:rPr>
        <w:t>a.1.</w:t>
      </w:r>
      <w:r w:rsidR="00514069">
        <w:rPr>
          <w:rFonts w:ascii="Century" w:hAnsi="Century"/>
          <w:sz w:val="24"/>
          <w:szCs w:val="24"/>
        </w:rPr>
        <w:t xml:space="preserve"> </w:t>
      </w:r>
      <w:r>
        <w:rPr>
          <w:rFonts w:ascii="Century" w:hAnsi="Century"/>
          <w:sz w:val="24"/>
          <w:szCs w:val="24"/>
        </w:rPr>
        <w:t>Por razón del vínculo familiar o circunstancias personales</w:t>
      </w:r>
      <w:r w:rsidR="00514069">
        <w:rPr>
          <w:rFonts w:ascii="Century" w:hAnsi="Century"/>
          <w:sz w:val="24"/>
          <w:szCs w:val="24"/>
        </w:rPr>
        <w:t>…………………………………</w:t>
      </w:r>
      <w:r w:rsidR="00DB47CF">
        <w:rPr>
          <w:rFonts w:ascii="Century" w:hAnsi="Century"/>
          <w:sz w:val="24"/>
          <w:szCs w:val="24"/>
        </w:rPr>
        <w:t>……………</w:t>
      </w:r>
      <w:r w:rsidR="00514069">
        <w:rPr>
          <w:rFonts w:ascii="Century" w:hAnsi="Century"/>
          <w:sz w:val="24"/>
          <w:szCs w:val="24"/>
        </w:rPr>
        <w:t>......</w:t>
      </w:r>
      <w:r w:rsidR="00DB47CF">
        <w:rPr>
          <w:rFonts w:ascii="Century" w:hAnsi="Century"/>
          <w:sz w:val="24"/>
          <w:szCs w:val="24"/>
        </w:rPr>
        <w:t>...</w:t>
      </w:r>
      <w:r w:rsidR="00514069">
        <w:rPr>
          <w:rFonts w:ascii="Century" w:hAnsi="Century"/>
          <w:sz w:val="24"/>
          <w:szCs w:val="24"/>
        </w:rPr>
        <w:t>p.</w:t>
      </w:r>
      <w:r w:rsidR="00DB47CF">
        <w:rPr>
          <w:rFonts w:ascii="Century" w:hAnsi="Century"/>
          <w:sz w:val="24"/>
          <w:szCs w:val="24"/>
        </w:rPr>
        <w:t xml:space="preserve"> </w:t>
      </w:r>
      <w:r w:rsidR="00514069">
        <w:rPr>
          <w:rFonts w:ascii="Century" w:hAnsi="Century"/>
          <w:sz w:val="24"/>
          <w:szCs w:val="24"/>
        </w:rPr>
        <w:t>5</w:t>
      </w:r>
      <w:r w:rsidR="000A0598">
        <w:rPr>
          <w:rFonts w:ascii="Century" w:hAnsi="Century"/>
          <w:sz w:val="24"/>
          <w:szCs w:val="24"/>
        </w:rPr>
        <w:t>7</w:t>
      </w:r>
    </w:p>
    <w:p w:rsidR="00EA6850" w:rsidRDefault="00EA6850" w:rsidP="00893EE9">
      <w:pPr>
        <w:spacing w:after="240" w:line="360" w:lineRule="auto"/>
        <w:ind w:left="1843"/>
        <w:jc w:val="both"/>
        <w:rPr>
          <w:rFonts w:ascii="Century" w:hAnsi="Century"/>
          <w:sz w:val="24"/>
          <w:szCs w:val="24"/>
        </w:rPr>
      </w:pPr>
      <w:r>
        <w:rPr>
          <w:rFonts w:ascii="Century" w:hAnsi="Century"/>
          <w:sz w:val="24"/>
          <w:szCs w:val="24"/>
        </w:rPr>
        <w:t>a.2.</w:t>
      </w:r>
      <w:r w:rsidR="00514069">
        <w:rPr>
          <w:rFonts w:ascii="Century" w:hAnsi="Century"/>
          <w:sz w:val="24"/>
          <w:szCs w:val="24"/>
        </w:rPr>
        <w:t xml:space="preserve"> </w:t>
      </w:r>
      <w:r>
        <w:rPr>
          <w:rFonts w:ascii="Century" w:hAnsi="Century"/>
          <w:sz w:val="24"/>
          <w:szCs w:val="24"/>
        </w:rPr>
        <w:t>Por razón de la naturaleza de lo adquirido</w:t>
      </w:r>
      <w:r w:rsidR="00180827">
        <w:rPr>
          <w:rFonts w:ascii="Century" w:hAnsi="Century"/>
          <w:sz w:val="24"/>
          <w:szCs w:val="24"/>
        </w:rPr>
        <w:t>………...</w:t>
      </w:r>
      <w:r w:rsidR="00DB47CF">
        <w:rPr>
          <w:rFonts w:ascii="Century" w:hAnsi="Century"/>
          <w:sz w:val="24"/>
          <w:szCs w:val="24"/>
        </w:rPr>
        <w:t>.</w:t>
      </w:r>
      <w:r>
        <w:rPr>
          <w:rFonts w:ascii="Century" w:hAnsi="Century"/>
          <w:sz w:val="24"/>
          <w:szCs w:val="24"/>
        </w:rPr>
        <w:t>p.</w:t>
      </w:r>
      <w:r w:rsidR="00DB47CF">
        <w:rPr>
          <w:rFonts w:ascii="Century" w:hAnsi="Century"/>
          <w:sz w:val="24"/>
          <w:szCs w:val="24"/>
        </w:rPr>
        <w:t xml:space="preserve"> </w:t>
      </w:r>
      <w:r w:rsidR="000A0598">
        <w:rPr>
          <w:rFonts w:ascii="Century" w:hAnsi="Century"/>
          <w:sz w:val="24"/>
          <w:szCs w:val="24"/>
        </w:rPr>
        <w:t>64</w:t>
      </w:r>
    </w:p>
    <w:p w:rsidR="00514069" w:rsidRDefault="00514069" w:rsidP="00893EE9">
      <w:pPr>
        <w:spacing w:after="240" w:line="360" w:lineRule="auto"/>
        <w:ind w:left="1418"/>
        <w:jc w:val="both"/>
        <w:rPr>
          <w:rFonts w:ascii="Century" w:hAnsi="Century"/>
          <w:sz w:val="24"/>
          <w:szCs w:val="24"/>
        </w:rPr>
      </w:pPr>
      <w:r>
        <w:rPr>
          <w:rFonts w:ascii="Century" w:hAnsi="Century"/>
          <w:sz w:val="24"/>
          <w:szCs w:val="24"/>
        </w:rPr>
        <w:lastRenderedPageBreak/>
        <w:t>B - Esc</w:t>
      </w:r>
      <w:r w:rsidR="00A36042">
        <w:rPr>
          <w:rFonts w:ascii="Century" w:hAnsi="Century"/>
          <w:sz w:val="24"/>
          <w:szCs w:val="24"/>
        </w:rPr>
        <w:t>alas de gravamen</w:t>
      </w:r>
      <w:r w:rsidR="005D711B">
        <w:rPr>
          <w:rFonts w:ascii="Century" w:hAnsi="Century"/>
          <w:sz w:val="24"/>
          <w:szCs w:val="24"/>
        </w:rPr>
        <w:t>………………………………………...</w:t>
      </w:r>
      <w:r>
        <w:rPr>
          <w:rFonts w:ascii="Century" w:hAnsi="Century"/>
          <w:sz w:val="24"/>
          <w:szCs w:val="24"/>
        </w:rPr>
        <w:t xml:space="preserve">p. </w:t>
      </w:r>
      <w:r w:rsidR="000A0598">
        <w:rPr>
          <w:rFonts w:ascii="Century" w:hAnsi="Century"/>
          <w:sz w:val="24"/>
          <w:szCs w:val="24"/>
        </w:rPr>
        <w:t>72</w:t>
      </w:r>
    </w:p>
    <w:p w:rsidR="00514069" w:rsidRDefault="00514069" w:rsidP="00893EE9">
      <w:pPr>
        <w:spacing w:after="240" w:line="360" w:lineRule="auto"/>
        <w:ind w:left="1418"/>
        <w:jc w:val="both"/>
        <w:rPr>
          <w:rFonts w:ascii="Century" w:hAnsi="Century"/>
          <w:sz w:val="24"/>
          <w:szCs w:val="24"/>
        </w:rPr>
      </w:pPr>
      <w:r>
        <w:rPr>
          <w:rFonts w:ascii="Century" w:hAnsi="Century"/>
          <w:sz w:val="24"/>
          <w:szCs w:val="24"/>
        </w:rPr>
        <w:t>C - Cuotas</w:t>
      </w:r>
      <w:r w:rsidRPr="00514069">
        <w:rPr>
          <w:rFonts w:ascii="Calibri" w:hAnsi="Calibri" w:cs="Calibri"/>
          <w:sz w:val="24"/>
          <w:szCs w:val="24"/>
        </w:rPr>
        <w:t>:</w:t>
      </w:r>
      <w:r>
        <w:rPr>
          <w:rFonts w:ascii="Century" w:hAnsi="Century"/>
          <w:sz w:val="24"/>
          <w:szCs w:val="24"/>
        </w:rPr>
        <w:t xml:space="preserve"> in</w:t>
      </w:r>
      <w:r w:rsidR="00DB47CF">
        <w:rPr>
          <w:rFonts w:ascii="Century" w:hAnsi="Century"/>
          <w:sz w:val="24"/>
          <w:szCs w:val="24"/>
        </w:rPr>
        <w:t>crementada y líquida</w:t>
      </w:r>
      <w:r w:rsidR="005D711B">
        <w:rPr>
          <w:rFonts w:ascii="Century" w:hAnsi="Century"/>
          <w:sz w:val="24"/>
          <w:szCs w:val="24"/>
        </w:rPr>
        <w:t>.................................</w:t>
      </w:r>
      <w:r w:rsidR="00DB47CF">
        <w:rPr>
          <w:rFonts w:ascii="Century" w:hAnsi="Century"/>
          <w:sz w:val="24"/>
          <w:szCs w:val="24"/>
        </w:rPr>
        <w:t>......</w:t>
      </w:r>
      <w:r w:rsidR="00180827">
        <w:rPr>
          <w:rFonts w:ascii="Century" w:hAnsi="Century"/>
          <w:sz w:val="24"/>
          <w:szCs w:val="24"/>
        </w:rPr>
        <w:t>.</w:t>
      </w:r>
      <w:r>
        <w:rPr>
          <w:rFonts w:ascii="Century" w:hAnsi="Century"/>
          <w:sz w:val="24"/>
          <w:szCs w:val="24"/>
        </w:rPr>
        <w:t>p.</w:t>
      </w:r>
      <w:r w:rsidR="000A0598">
        <w:rPr>
          <w:rFonts w:ascii="Century" w:hAnsi="Century"/>
          <w:sz w:val="24"/>
          <w:szCs w:val="24"/>
        </w:rPr>
        <w:t xml:space="preserve"> 73</w:t>
      </w:r>
    </w:p>
    <w:p w:rsidR="00EA6850" w:rsidRDefault="00CE1840" w:rsidP="00893EE9">
      <w:pPr>
        <w:spacing w:after="240" w:line="360" w:lineRule="auto"/>
        <w:ind w:left="709"/>
        <w:jc w:val="both"/>
        <w:rPr>
          <w:rFonts w:ascii="Century" w:hAnsi="Century"/>
          <w:sz w:val="24"/>
          <w:szCs w:val="24"/>
        </w:rPr>
      </w:pPr>
      <w:r w:rsidRPr="002C13F3">
        <w:rPr>
          <w:rFonts w:ascii="Century" w:hAnsi="Century"/>
          <w:sz w:val="24"/>
          <w:szCs w:val="24"/>
        </w:rPr>
        <w:t>3.2.3.</w:t>
      </w:r>
      <w:r w:rsidR="008F1F8C" w:rsidRPr="002C13F3">
        <w:rPr>
          <w:rFonts w:ascii="Century" w:hAnsi="Century"/>
          <w:sz w:val="24"/>
          <w:szCs w:val="24"/>
        </w:rPr>
        <w:t xml:space="preserve"> Problemas derivados </w:t>
      </w:r>
      <w:r w:rsidR="00514069">
        <w:rPr>
          <w:rFonts w:ascii="Century" w:hAnsi="Century"/>
          <w:sz w:val="24"/>
          <w:szCs w:val="24"/>
        </w:rPr>
        <w:t>de l</w:t>
      </w:r>
      <w:r w:rsidR="005D711B">
        <w:rPr>
          <w:rFonts w:ascii="Century" w:hAnsi="Century"/>
          <w:sz w:val="24"/>
          <w:szCs w:val="24"/>
        </w:rPr>
        <w:t>as regulaciones del impuesto.........</w:t>
      </w:r>
      <w:r w:rsidR="0042244D">
        <w:rPr>
          <w:rFonts w:ascii="Century" w:hAnsi="Century"/>
          <w:sz w:val="24"/>
          <w:szCs w:val="24"/>
        </w:rPr>
        <w:t>p.</w:t>
      </w:r>
      <w:r w:rsidR="00DB47CF">
        <w:rPr>
          <w:rFonts w:ascii="Century" w:hAnsi="Century"/>
          <w:sz w:val="24"/>
          <w:szCs w:val="24"/>
        </w:rPr>
        <w:t xml:space="preserve"> </w:t>
      </w:r>
      <w:r w:rsidR="000A0598">
        <w:rPr>
          <w:rFonts w:ascii="Century" w:hAnsi="Century"/>
          <w:sz w:val="24"/>
          <w:szCs w:val="24"/>
        </w:rPr>
        <w:t>78</w:t>
      </w:r>
    </w:p>
    <w:p w:rsidR="001C0CFB" w:rsidRDefault="00245EA8" w:rsidP="00893EE9">
      <w:pPr>
        <w:spacing w:after="240" w:line="360" w:lineRule="auto"/>
        <w:ind w:left="1418"/>
        <w:jc w:val="both"/>
        <w:rPr>
          <w:rFonts w:ascii="Century" w:hAnsi="Century"/>
          <w:sz w:val="24"/>
          <w:szCs w:val="24"/>
        </w:rPr>
      </w:pPr>
      <w:r>
        <w:rPr>
          <w:rFonts w:ascii="Century" w:hAnsi="Century"/>
          <w:sz w:val="24"/>
          <w:szCs w:val="24"/>
        </w:rPr>
        <w:t>A - Problemas internos</w:t>
      </w:r>
      <w:r w:rsidRPr="00514069">
        <w:rPr>
          <w:rFonts w:ascii="Calibri" w:hAnsi="Calibri" w:cs="Calibri"/>
          <w:sz w:val="24"/>
          <w:szCs w:val="24"/>
        </w:rPr>
        <w:t>:</w:t>
      </w:r>
      <w:r>
        <w:rPr>
          <w:rFonts w:ascii="Century" w:hAnsi="Century"/>
          <w:sz w:val="24"/>
          <w:szCs w:val="24"/>
        </w:rPr>
        <w:t xml:space="preserve"> </w:t>
      </w:r>
      <w:r w:rsidR="00514069">
        <w:rPr>
          <w:rFonts w:ascii="Century" w:hAnsi="Century"/>
          <w:sz w:val="24"/>
          <w:szCs w:val="24"/>
        </w:rPr>
        <w:t>V</w:t>
      </w:r>
      <w:r w:rsidR="001C0CFB" w:rsidRPr="00042F0C">
        <w:rPr>
          <w:rFonts w:ascii="Century" w:hAnsi="Century"/>
          <w:sz w:val="24"/>
          <w:szCs w:val="24"/>
        </w:rPr>
        <w:t>ulne</w:t>
      </w:r>
      <w:r w:rsidR="00D8022D">
        <w:rPr>
          <w:rFonts w:ascii="Century" w:hAnsi="Century"/>
          <w:sz w:val="24"/>
          <w:szCs w:val="24"/>
        </w:rPr>
        <w:t xml:space="preserve">ración del principio de </w:t>
      </w:r>
      <w:r>
        <w:rPr>
          <w:rFonts w:ascii="Century" w:hAnsi="Century"/>
          <w:sz w:val="24"/>
          <w:szCs w:val="24"/>
        </w:rPr>
        <w:t>igualdad</w:t>
      </w:r>
      <w:r w:rsidR="005D711B">
        <w:rPr>
          <w:rFonts w:ascii="Century" w:hAnsi="Century"/>
          <w:sz w:val="24"/>
          <w:szCs w:val="24"/>
        </w:rPr>
        <w:t>...................................................................................</w:t>
      </w:r>
      <w:r w:rsidR="0042244D">
        <w:rPr>
          <w:rFonts w:ascii="Century" w:hAnsi="Century"/>
          <w:sz w:val="24"/>
          <w:szCs w:val="24"/>
        </w:rPr>
        <w:t>p.</w:t>
      </w:r>
      <w:r w:rsidR="00DB47CF">
        <w:rPr>
          <w:rFonts w:ascii="Century" w:hAnsi="Century"/>
          <w:sz w:val="24"/>
          <w:szCs w:val="24"/>
        </w:rPr>
        <w:t xml:space="preserve"> </w:t>
      </w:r>
      <w:r w:rsidR="000A0598">
        <w:rPr>
          <w:rFonts w:ascii="Century" w:hAnsi="Century"/>
          <w:sz w:val="24"/>
          <w:szCs w:val="24"/>
        </w:rPr>
        <w:t>78</w:t>
      </w:r>
    </w:p>
    <w:p w:rsidR="008F1F8C" w:rsidRPr="002C13F3" w:rsidRDefault="001C0CFB" w:rsidP="00893EE9">
      <w:pPr>
        <w:spacing w:after="240" w:line="360" w:lineRule="auto"/>
        <w:ind w:left="1418"/>
        <w:jc w:val="both"/>
        <w:rPr>
          <w:rFonts w:ascii="Century" w:hAnsi="Century"/>
          <w:sz w:val="24"/>
          <w:szCs w:val="24"/>
        </w:rPr>
      </w:pPr>
      <w:r w:rsidRPr="00D92848">
        <w:rPr>
          <w:rFonts w:ascii="Century" w:hAnsi="Century"/>
          <w:sz w:val="24"/>
          <w:szCs w:val="24"/>
        </w:rPr>
        <w:t>B</w:t>
      </w:r>
      <w:r w:rsidR="00245EA8">
        <w:rPr>
          <w:rFonts w:ascii="Century" w:hAnsi="Century"/>
          <w:sz w:val="24"/>
          <w:szCs w:val="24"/>
        </w:rPr>
        <w:t xml:space="preserve"> - </w:t>
      </w:r>
      <w:r w:rsidRPr="00D92848">
        <w:rPr>
          <w:rFonts w:ascii="Century" w:hAnsi="Century"/>
          <w:sz w:val="24"/>
          <w:szCs w:val="24"/>
        </w:rPr>
        <w:t>Problemas comunitarios</w:t>
      </w:r>
      <w:r w:rsidR="00514069" w:rsidRPr="00514069">
        <w:rPr>
          <w:rFonts w:ascii="Calibri" w:hAnsi="Calibri" w:cs="Calibri"/>
          <w:sz w:val="24"/>
          <w:szCs w:val="24"/>
        </w:rPr>
        <w:t>:</w:t>
      </w:r>
      <w:r w:rsidR="00514069">
        <w:rPr>
          <w:rFonts w:ascii="Century" w:hAnsi="Century"/>
          <w:sz w:val="24"/>
          <w:szCs w:val="24"/>
        </w:rPr>
        <w:t xml:space="preserve"> Vulneración de los principios de libre circulación </w:t>
      </w:r>
      <w:r w:rsidR="00514069" w:rsidRPr="00A36042">
        <w:rPr>
          <w:rFonts w:ascii="Century" w:hAnsi="Century"/>
          <w:sz w:val="24"/>
          <w:szCs w:val="24"/>
        </w:rPr>
        <w:t>y no discriminación</w:t>
      </w:r>
      <w:r w:rsidR="00580956">
        <w:rPr>
          <w:rFonts w:ascii="Century" w:hAnsi="Century"/>
          <w:sz w:val="24"/>
          <w:szCs w:val="24"/>
        </w:rPr>
        <w:t>......................................</w:t>
      </w:r>
      <w:r w:rsidR="0042244D">
        <w:rPr>
          <w:rFonts w:ascii="Century" w:hAnsi="Century"/>
          <w:sz w:val="24"/>
          <w:szCs w:val="24"/>
        </w:rPr>
        <w:t>p.</w:t>
      </w:r>
      <w:r w:rsidR="00DB47CF">
        <w:rPr>
          <w:rFonts w:ascii="Century" w:hAnsi="Century"/>
          <w:sz w:val="24"/>
          <w:szCs w:val="24"/>
        </w:rPr>
        <w:t xml:space="preserve"> </w:t>
      </w:r>
      <w:r w:rsidR="000A0598">
        <w:rPr>
          <w:rFonts w:ascii="Century" w:hAnsi="Century"/>
          <w:sz w:val="24"/>
          <w:szCs w:val="24"/>
        </w:rPr>
        <w:t>83</w:t>
      </w:r>
      <w:r w:rsidRPr="00D92848">
        <w:rPr>
          <w:rFonts w:ascii="Century" w:hAnsi="Century"/>
          <w:sz w:val="24"/>
          <w:szCs w:val="24"/>
        </w:rPr>
        <w:t xml:space="preserve"> </w:t>
      </w:r>
      <w:r w:rsidR="008F1F8C" w:rsidRPr="002C13F3">
        <w:rPr>
          <w:rFonts w:ascii="Century" w:hAnsi="Century"/>
          <w:sz w:val="24"/>
          <w:szCs w:val="24"/>
        </w:rPr>
        <w:t xml:space="preserve"> </w:t>
      </w:r>
    </w:p>
    <w:p w:rsidR="008F1F8C" w:rsidRDefault="00687256" w:rsidP="00893EE9">
      <w:pPr>
        <w:spacing w:after="240" w:line="360" w:lineRule="auto"/>
        <w:ind w:left="284"/>
        <w:jc w:val="both"/>
        <w:rPr>
          <w:rFonts w:ascii="Century" w:hAnsi="Century"/>
          <w:sz w:val="24"/>
          <w:szCs w:val="24"/>
        </w:rPr>
      </w:pPr>
      <w:r w:rsidRPr="002C13F3">
        <w:rPr>
          <w:rFonts w:ascii="Century" w:hAnsi="Century"/>
          <w:sz w:val="24"/>
          <w:szCs w:val="24"/>
        </w:rPr>
        <w:t>3</w:t>
      </w:r>
      <w:r w:rsidR="00D8022D">
        <w:rPr>
          <w:rFonts w:ascii="Century" w:hAnsi="Century"/>
          <w:sz w:val="24"/>
          <w:szCs w:val="24"/>
        </w:rPr>
        <w:t>.3</w:t>
      </w:r>
      <w:r w:rsidR="008F1F8C" w:rsidRPr="002C13F3">
        <w:rPr>
          <w:rFonts w:ascii="Century" w:hAnsi="Century"/>
          <w:sz w:val="24"/>
          <w:szCs w:val="24"/>
        </w:rPr>
        <w:t xml:space="preserve">. Situación actual y </w:t>
      </w:r>
      <w:r w:rsidR="0042244D">
        <w:rPr>
          <w:rFonts w:ascii="Century" w:hAnsi="Century"/>
          <w:sz w:val="24"/>
          <w:szCs w:val="24"/>
        </w:rPr>
        <w:t>pr</w:t>
      </w:r>
      <w:r w:rsidR="00B166FE">
        <w:rPr>
          <w:rFonts w:ascii="Century" w:hAnsi="Century"/>
          <w:sz w:val="24"/>
          <w:szCs w:val="24"/>
        </w:rPr>
        <w:t xml:space="preserve">opuesta </w:t>
      </w:r>
      <w:r w:rsidR="005D711B">
        <w:rPr>
          <w:rFonts w:ascii="Century" w:hAnsi="Century"/>
          <w:sz w:val="24"/>
          <w:szCs w:val="24"/>
        </w:rPr>
        <w:t>de reforma</w:t>
      </w:r>
      <w:r w:rsidR="00580956">
        <w:rPr>
          <w:rFonts w:ascii="Century" w:hAnsi="Century"/>
          <w:sz w:val="24"/>
          <w:szCs w:val="24"/>
        </w:rPr>
        <w:t>.........................................</w:t>
      </w:r>
      <w:r w:rsidR="0042244D">
        <w:rPr>
          <w:rFonts w:ascii="Century" w:hAnsi="Century"/>
          <w:sz w:val="24"/>
          <w:szCs w:val="24"/>
        </w:rPr>
        <w:t>p.</w:t>
      </w:r>
      <w:r w:rsidR="00DB47CF">
        <w:rPr>
          <w:rFonts w:ascii="Century" w:hAnsi="Century"/>
          <w:sz w:val="24"/>
          <w:szCs w:val="24"/>
        </w:rPr>
        <w:t xml:space="preserve"> </w:t>
      </w:r>
      <w:r w:rsidR="005E5749">
        <w:rPr>
          <w:rFonts w:ascii="Century" w:hAnsi="Century"/>
          <w:sz w:val="24"/>
          <w:szCs w:val="24"/>
        </w:rPr>
        <w:t>94</w:t>
      </w:r>
    </w:p>
    <w:p w:rsidR="00245EA8" w:rsidRPr="00D8022D" w:rsidRDefault="00245EA8" w:rsidP="00893EE9">
      <w:pPr>
        <w:spacing w:after="240" w:line="360" w:lineRule="auto"/>
        <w:jc w:val="both"/>
        <w:rPr>
          <w:rFonts w:ascii="Century" w:hAnsi="Century"/>
          <w:sz w:val="18"/>
          <w:szCs w:val="18"/>
        </w:rPr>
      </w:pPr>
    </w:p>
    <w:p w:rsidR="000D28A1" w:rsidRPr="002C13F3" w:rsidRDefault="000D28A1" w:rsidP="00893EE9">
      <w:pPr>
        <w:spacing w:after="240" w:line="360" w:lineRule="auto"/>
        <w:jc w:val="both"/>
        <w:rPr>
          <w:rFonts w:ascii="Century" w:hAnsi="Century"/>
          <w:sz w:val="24"/>
          <w:szCs w:val="24"/>
        </w:rPr>
      </w:pPr>
      <w:r w:rsidRPr="00BA1D6B">
        <w:rPr>
          <w:rFonts w:ascii="Century" w:hAnsi="Century"/>
          <w:b/>
          <w:sz w:val="24"/>
          <w:szCs w:val="24"/>
        </w:rPr>
        <w:t>4. CONCLUSION</w:t>
      </w:r>
      <w:r w:rsidR="00B166FE" w:rsidRPr="00BA1D6B">
        <w:rPr>
          <w:rFonts w:ascii="Century" w:hAnsi="Century"/>
          <w:b/>
          <w:sz w:val="24"/>
          <w:szCs w:val="24"/>
        </w:rPr>
        <w:t>ES</w:t>
      </w:r>
      <w:r w:rsidR="00B166FE">
        <w:rPr>
          <w:rFonts w:ascii="Century" w:hAnsi="Century"/>
          <w:sz w:val="24"/>
          <w:szCs w:val="24"/>
        </w:rPr>
        <w:t>............................................................................</w:t>
      </w:r>
      <w:r w:rsidR="00DB47CF">
        <w:rPr>
          <w:rFonts w:ascii="Century" w:hAnsi="Century"/>
          <w:sz w:val="24"/>
          <w:szCs w:val="24"/>
        </w:rPr>
        <w:t>….....</w:t>
      </w:r>
      <w:r w:rsidR="0042244D">
        <w:rPr>
          <w:rFonts w:ascii="Century" w:hAnsi="Century"/>
          <w:sz w:val="24"/>
          <w:szCs w:val="24"/>
        </w:rPr>
        <w:t>p</w:t>
      </w:r>
      <w:r>
        <w:rPr>
          <w:rFonts w:ascii="Century" w:hAnsi="Century"/>
          <w:sz w:val="24"/>
          <w:szCs w:val="24"/>
        </w:rPr>
        <w:t>.</w:t>
      </w:r>
      <w:r w:rsidR="00DB47CF">
        <w:rPr>
          <w:rFonts w:ascii="Century" w:hAnsi="Century"/>
          <w:sz w:val="24"/>
          <w:szCs w:val="24"/>
        </w:rPr>
        <w:t xml:space="preserve"> </w:t>
      </w:r>
      <w:r w:rsidR="000A0598">
        <w:rPr>
          <w:rFonts w:ascii="Century" w:hAnsi="Century"/>
          <w:sz w:val="24"/>
          <w:szCs w:val="24"/>
        </w:rPr>
        <w:t>98</w:t>
      </w:r>
    </w:p>
    <w:p w:rsidR="00245EA8" w:rsidRPr="00D8022D" w:rsidRDefault="00245EA8" w:rsidP="00893EE9">
      <w:pPr>
        <w:spacing w:after="240" w:line="360" w:lineRule="auto"/>
        <w:jc w:val="both"/>
        <w:rPr>
          <w:rFonts w:ascii="Century" w:hAnsi="Century"/>
          <w:sz w:val="18"/>
          <w:szCs w:val="18"/>
        </w:rPr>
      </w:pPr>
    </w:p>
    <w:p w:rsidR="00A23009" w:rsidRDefault="000D28A1" w:rsidP="00893EE9">
      <w:pPr>
        <w:spacing w:after="240" w:line="360" w:lineRule="auto"/>
        <w:jc w:val="both"/>
        <w:rPr>
          <w:rFonts w:ascii="Century" w:hAnsi="Century"/>
          <w:sz w:val="24"/>
          <w:szCs w:val="24"/>
        </w:rPr>
      </w:pPr>
      <w:r w:rsidRPr="00BA1D6B">
        <w:rPr>
          <w:rFonts w:ascii="Century" w:hAnsi="Century"/>
          <w:b/>
          <w:sz w:val="24"/>
          <w:szCs w:val="24"/>
        </w:rPr>
        <w:t>5</w:t>
      </w:r>
      <w:r w:rsidR="005751FF" w:rsidRPr="00BA1D6B">
        <w:rPr>
          <w:rFonts w:ascii="Century" w:hAnsi="Century"/>
          <w:b/>
          <w:sz w:val="24"/>
          <w:szCs w:val="24"/>
        </w:rPr>
        <w:t>. BI</w:t>
      </w:r>
      <w:r w:rsidR="00B166FE" w:rsidRPr="00BA1D6B">
        <w:rPr>
          <w:rFonts w:ascii="Century" w:hAnsi="Century"/>
          <w:b/>
          <w:sz w:val="24"/>
          <w:szCs w:val="24"/>
        </w:rPr>
        <w:t>BLIOGRAFÍA</w:t>
      </w:r>
      <w:r w:rsidR="00951450">
        <w:rPr>
          <w:rFonts w:ascii="Century" w:hAnsi="Century"/>
          <w:sz w:val="24"/>
          <w:szCs w:val="24"/>
        </w:rPr>
        <w:t>.....................................................................................</w:t>
      </w:r>
      <w:r w:rsidR="0042244D">
        <w:rPr>
          <w:rFonts w:ascii="Century" w:hAnsi="Century"/>
          <w:sz w:val="24"/>
          <w:szCs w:val="24"/>
        </w:rPr>
        <w:t>p.</w:t>
      </w:r>
      <w:r w:rsidR="00DB47CF">
        <w:rPr>
          <w:rFonts w:ascii="Century" w:hAnsi="Century"/>
          <w:sz w:val="24"/>
          <w:szCs w:val="24"/>
        </w:rPr>
        <w:t xml:space="preserve"> </w:t>
      </w:r>
      <w:r w:rsidR="000A0598">
        <w:rPr>
          <w:rFonts w:ascii="Century" w:hAnsi="Century"/>
          <w:sz w:val="24"/>
          <w:szCs w:val="24"/>
        </w:rPr>
        <w:t>102</w:t>
      </w:r>
    </w:p>
    <w:p w:rsidR="00A23009" w:rsidRPr="00A23009" w:rsidRDefault="00A23009" w:rsidP="00893EE9">
      <w:pPr>
        <w:spacing w:after="240" w:line="360" w:lineRule="auto"/>
        <w:jc w:val="both"/>
        <w:rPr>
          <w:rFonts w:ascii="Century" w:hAnsi="Century"/>
          <w:sz w:val="18"/>
          <w:szCs w:val="18"/>
        </w:rPr>
      </w:pPr>
    </w:p>
    <w:p w:rsidR="00E44243" w:rsidRPr="002C13F3" w:rsidRDefault="00776090" w:rsidP="00893EE9">
      <w:pPr>
        <w:spacing w:after="240" w:line="360" w:lineRule="auto"/>
        <w:jc w:val="both"/>
        <w:rPr>
          <w:rFonts w:ascii="Century" w:hAnsi="Century"/>
        </w:rPr>
      </w:pPr>
      <w:r w:rsidRPr="00BA1D6B">
        <w:rPr>
          <w:rFonts w:ascii="Century" w:hAnsi="Century"/>
          <w:b/>
          <w:sz w:val="24"/>
          <w:szCs w:val="24"/>
        </w:rPr>
        <w:t>6. ANEXO NO</w:t>
      </w:r>
      <w:r w:rsidR="00B166FE" w:rsidRPr="00BA1D6B">
        <w:rPr>
          <w:rFonts w:ascii="Century" w:hAnsi="Century"/>
          <w:b/>
          <w:sz w:val="24"/>
          <w:szCs w:val="24"/>
        </w:rPr>
        <w:t>RMATIVO Y DE JURISPRUDENCIA</w:t>
      </w:r>
      <w:r w:rsidR="00E40C33">
        <w:rPr>
          <w:rFonts w:ascii="Century" w:hAnsi="Century"/>
          <w:sz w:val="24"/>
          <w:szCs w:val="24"/>
        </w:rPr>
        <w:t>.............................</w:t>
      </w:r>
      <w:r w:rsidR="00951450">
        <w:rPr>
          <w:rFonts w:ascii="Century" w:hAnsi="Century"/>
          <w:sz w:val="24"/>
          <w:szCs w:val="24"/>
        </w:rPr>
        <w:t>.</w:t>
      </w:r>
      <w:r w:rsidR="00A23009">
        <w:rPr>
          <w:rFonts w:ascii="Century" w:hAnsi="Century"/>
          <w:sz w:val="24"/>
          <w:szCs w:val="24"/>
        </w:rPr>
        <w:t>p.</w:t>
      </w:r>
      <w:r w:rsidR="00A36042">
        <w:rPr>
          <w:rFonts w:ascii="Century" w:hAnsi="Century"/>
          <w:sz w:val="24"/>
          <w:szCs w:val="24"/>
        </w:rPr>
        <w:t xml:space="preserve"> 10</w:t>
      </w:r>
      <w:r w:rsidR="000A0598">
        <w:rPr>
          <w:rFonts w:ascii="Century" w:hAnsi="Century"/>
          <w:sz w:val="24"/>
          <w:szCs w:val="24"/>
        </w:rPr>
        <w:t>9</w:t>
      </w:r>
      <w:r w:rsidR="00E44243" w:rsidRPr="002C13F3">
        <w:rPr>
          <w:rFonts w:ascii="Century" w:hAnsi="Century"/>
        </w:rPr>
        <w:br w:type="page"/>
      </w:r>
    </w:p>
    <w:p w:rsidR="00E44243" w:rsidRDefault="00E44243" w:rsidP="002D11BC">
      <w:pPr>
        <w:spacing w:after="240" w:line="360" w:lineRule="auto"/>
        <w:jc w:val="both"/>
        <w:rPr>
          <w:rFonts w:ascii="Century" w:hAnsi="Century"/>
          <w:b/>
          <w:sz w:val="24"/>
          <w:szCs w:val="24"/>
        </w:rPr>
      </w:pPr>
      <w:r w:rsidRPr="002C13F3">
        <w:rPr>
          <w:rFonts w:ascii="Century" w:hAnsi="Century"/>
          <w:b/>
          <w:sz w:val="24"/>
          <w:szCs w:val="24"/>
        </w:rPr>
        <w:lastRenderedPageBreak/>
        <w:t>ABREVIATURAS</w:t>
      </w:r>
    </w:p>
    <w:p w:rsidR="00187029" w:rsidRPr="002C13F3" w:rsidRDefault="00187029" w:rsidP="002D11BC">
      <w:pPr>
        <w:spacing w:after="240" w:line="360" w:lineRule="auto"/>
        <w:jc w:val="both"/>
        <w:rPr>
          <w:rFonts w:ascii="Century" w:hAnsi="Century"/>
          <w:b/>
          <w:sz w:val="24"/>
          <w:szCs w:val="24"/>
        </w:rPr>
      </w:pPr>
      <w:r w:rsidRPr="00187029">
        <w:rPr>
          <w:rFonts w:ascii="Century" w:hAnsi="Century"/>
          <w:sz w:val="24"/>
          <w:szCs w:val="24"/>
        </w:rPr>
        <w:t>Acuerdo EEE</w:t>
      </w:r>
      <w:r w:rsidR="001D0AFD">
        <w:rPr>
          <w:rFonts w:ascii="Century" w:hAnsi="Century"/>
          <w:b/>
          <w:sz w:val="24"/>
          <w:szCs w:val="24"/>
        </w:rPr>
        <w:tab/>
      </w:r>
      <w:r w:rsidRPr="002C13F3">
        <w:rPr>
          <w:rFonts w:ascii="Century" w:hAnsi="Century" w:cs="Arial"/>
          <w:sz w:val="24"/>
          <w:szCs w:val="24"/>
        </w:rPr>
        <w:t>Acuerdo del Espacio Económico Europeo</w:t>
      </w:r>
    </w:p>
    <w:p w:rsidR="00E44243" w:rsidRPr="002C13F3" w:rsidRDefault="00E44243" w:rsidP="002D11BC">
      <w:pPr>
        <w:spacing w:after="240" w:line="360" w:lineRule="auto"/>
        <w:jc w:val="both"/>
        <w:rPr>
          <w:rFonts w:ascii="Century" w:hAnsi="Century"/>
          <w:sz w:val="24"/>
          <w:szCs w:val="24"/>
        </w:rPr>
      </w:pPr>
      <w:proofErr w:type="gramStart"/>
      <w:r w:rsidRPr="002C13F3">
        <w:rPr>
          <w:rFonts w:ascii="Century" w:hAnsi="Century"/>
          <w:sz w:val="24"/>
          <w:szCs w:val="24"/>
        </w:rPr>
        <w:t>art</w:t>
      </w:r>
      <w:proofErr w:type="gramEnd"/>
      <w:r w:rsidRPr="002C13F3">
        <w:rPr>
          <w:rFonts w:ascii="Century" w:hAnsi="Century"/>
          <w:sz w:val="24"/>
          <w:szCs w:val="24"/>
        </w:rPr>
        <w:t>.</w:t>
      </w:r>
      <w:r w:rsidRPr="002C13F3">
        <w:rPr>
          <w:rFonts w:ascii="Century" w:hAnsi="Century"/>
          <w:sz w:val="24"/>
          <w:szCs w:val="24"/>
        </w:rPr>
        <w:tab/>
      </w:r>
      <w:r w:rsidRPr="002C13F3">
        <w:rPr>
          <w:rFonts w:ascii="Century" w:hAnsi="Century"/>
          <w:sz w:val="24"/>
          <w:szCs w:val="24"/>
        </w:rPr>
        <w:tab/>
      </w:r>
      <w:r w:rsidR="00187029">
        <w:rPr>
          <w:rFonts w:ascii="Century" w:hAnsi="Century"/>
          <w:sz w:val="24"/>
          <w:szCs w:val="24"/>
        </w:rPr>
        <w:t xml:space="preserve">   </w:t>
      </w:r>
      <w:r w:rsidR="00187029">
        <w:rPr>
          <w:rFonts w:ascii="Century" w:hAnsi="Century"/>
          <w:sz w:val="24"/>
          <w:szCs w:val="24"/>
        </w:rPr>
        <w:tab/>
      </w:r>
      <w:r w:rsidRPr="002C13F3">
        <w:rPr>
          <w:rFonts w:ascii="Century" w:hAnsi="Century"/>
          <w:sz w:val="24"/>
          <w:szCs w:val="24"/>
        </w:rPr>
        <w:t xml:space="preserve">Artículo </w:t>
      </w:r>
    </w:p>
    <w:p w:rsidR="00E44243" w:rsidRDefault="00E44243" w:rsidP="002D11BC">
      <w:pPr>
        <w:spacing w:after="240" w:line="360" w:lineRule="auto"/>
        <w:jc w:val="both"/>
        <w:rPr>
          <w:rFonts w:ascii="Century" w:hAnsi="Century"/>
          <w:sz w:val="24"/>
          <w:szCs w:val="24"/>
        </w:rPr>
      </w:pPr>
      <w:r w:rsidRPr="002C13F3">
        <w:rPr>
          <w:rFonts w:ascii="Century" w:hAnsi="Century"/>
          <w:sz w:val="24"/>
          <w:szCs w:val="24"/>
        </w:rPr>
        <w:t>CCAA</w:t>
      </w:r>
      <w:r w:rsidRPr="002C13F3">
        <w:rPr>
          <w:rFonts w:ascii="Century" w:hAnsi="Century"/>
          <w:sz w:val="24"/>
          <w:szCs w:val="24"/>
        </w:rPr>
        <w:tab/>
      </w:r>
      <w:r w:rsidRPr="002C13F3">
        <w:rPr>
          <w:rFonts w:ascii="Century" w:hAnsi="Century"/>
          <w:sz w:val="24"/>
          <w:szCs w:val="24"/>
        </w:rPr>
        <w:tab/>
      </w:r>
      <w:r w:rsidR="00187029">
        <w:rPr>
          <w:rFonts w:ascii="Century" w:hAnsi="Century"/>
          <w:sz w:val="24"/>
          <w:szCs w:val="24"/>
        </w:rPr>
        <w:tab/>
      </w:r>
      <w:r w:rsidRPr="002C13F3">
        <w:rPr>
          <w:rFonts w:ascii="Century" w:hAnsi="Century"/>
          <w:sz w:val="24"/>
          <w:szCs w:val="24"/>
        </w:rPr>
        <w:t>Comunidades Autónomas</w:t>
      </w:r>
    </w:p>
    <w:p w:rsidR="00D94FA6" w:rsidRDefault="00D94FA6" w:rsidP="002D11BC">
      <w:pPr>
        <w:spacing w:after="240" w:line="360" w:lineRule="auto"/>
        <w:jc w:val="both"/>
        <w:rPr>
          <w:rFonts w:ascii="Century" w:hAnsi="Century"/>
          <w:sz w:val="24"/>
          <w:szCs w:val="24"/>
        </w:rPr>
      </w:pPr>
      <w:r>
        <w:rPr>
          <w:rFonts w:ascii="Century" w:hAnsi="Century"/>
          <w:sz w:val="24"/>
          <w:szCs w:val="24"/>
        </w:rPr>
        <w:t>CE</w:t>
      </w:r>
      <w:r>
        <w:rPr>
          <w:rFonts w:ascii="Century" w:hAnsi="Century"/>
          <w:sz w:val="24"/>
          <w:szCs w:val="24"/>
        </w:rPr>
        <w:tab/>
      </w:r>
      <w:r>
        <w:rPr>
          <w:rFonts w:ascii="Century" w:hAnsi="Century"/>
          <w:sz w:val="24"/>
          <w:szCs w:val="24"/>
        </w:rPr>
        <w:tab/>
      </w:r>
      <w:r>
        <w:rPr>
          <w:rFonts w:ascii="Century" w:hAnsi="Century"/>
          <w:sz w:val="24"/>
          <w:szCs w:val="24"/>
        </w:rPr>
        <w:tab/>
        <w:t>Constitución Española</w:t>
      </w:r>
    </w:p>
    <w:p w:rsidR="00C14670" w:rsidRDefault="00C14670" w:rsidP="002D11BC">
      <w:pPr>
        <w:spacing w:after="240" w:line="360" w:lineRule="auto"/>
        <w:jc w:val="both"/>
        <w:rPr>
          <w:rFonts w:ascii="Century" w:hAnsi="Century"/>
          <w:sz w:val="24"/>
          <w:szCs w:val="24"/>
        </w:rPr>
      </w:pPr>
      <w:r>
        <w:rPr>
          <w:rFonts w:ascii="Century" w:hAnsi="Century"/>
          <w:sz w:val="24"/>
          <w:szCs w:val="24"/>
        </w:rPr>
        <w:t>CEE</w:t>
      </w:r>
      <w:r>
        <w:rPr>
          <w:rFonts w:ascii="Century" w:hAnsi="Century"/>
          <w:sz w:val="24"/>
          <w:szCs w:val="24"/>
        </w:rPr>
        <w:tab/>
      </w:r>
      <w:r>
        <w:rPr>
          <w:rFonts w:ascii="Century" w:hAnsi="Century"/>
          <w:sz w:val="24"/>
          <w:szCs w:val="24"/>
        </w:rPr>
        <w:tab/>
      </w:r>
      <w:r w:rsidR="00187029">
        <w:rPr>
          <w:rFonts w:ascii="Century" w:hAnsi="Century"/>
          <w:sz w:val="24"/>
          <w:szCs w:val="24"/>
        </w:rPr>
        <w:tab/>
      </w:r>
      <w:r>
        <w:rPr>
          <w:rFonts w:ascii="Century" w:hAnsi="Century"/>
          <w:sz w:val="24"/>
          <w:szCs w:val="24"/>
        </w:rPr>
        <w:t>Comunidad Económica Europea</w:t>
      </w:r>
    </w:p>
    <w:p w:rsidR="00073816" w:rsidRPr="002C13F3" w:rsidRDefault="00073816" w:rsidP="002D11BC">
      <w:pPr>
        <w:spacing w:after="240" w:line="360" w:lineRule="auto"/>
        <w:jc w:val="both"/>
        <w:rPr>
          <w:rFonts w:ascii="Century" w:hAnsi="Century"/>
          <w:sz w:val="24"/>
          <w:szCs w:val="24"/>
        </w:rPr>
      </w:pPr>
      <w:r>
        <w:rPr>
          <w:rFonts w:ascii="Century" w:hAnsi="Century"/>
          <w:sz w:val="24"/>
          <w:szCs w:val="24"/>
        </w:rPr>
        <w:t>COM</w:t>
      </w:r>
      <w:r>
        <w:rPr>
          <w:rFonts w:ascii="Century" w:hAnsi="Century"/>
          <w:sz w:val="24"/>
          <w:szCs w:val="24"/>
        </w:rPr>
        <w:tab/>
      </w:r>
      <w:r>
        <w:rPr>
          <w:rFonts w:ascii="Century" w:hAnsi="Century"/>
          <w:sz w:val="24"/>
          <w:szCs w:val="24"/>
        </w:rPr>
        <w:tab/>
      </w:r>
      <w:r>
        <w:rPr>
          <w:rFonts w:ascii="Century" w:hAnsi="Century"/>
          <w:sz w:val="24"/>
          <w:szCs w:val="24"/>
        </w:rPr>
        <w:tab/>
        <w:t>Comunicación</w:t>
      </w:r>
    </w:p>
    <w:p w:rsidR="00E44243" w:rsidRDefault="00E44243" w:rsidP="002D11BC">
      <w:pPr>
        <w:spacing w:after="240" w:line="360" w:lineRule="auto"/>
        <w:jc w:val="both"/>
        <w:rPr>
          <w:rFonts w:ascii="Century" w:hAnsi="Century"/>
          <w:sz w:val="24"/>
          <w:szCs w:val="24"/>
        </w:rPr>
      </w:pPr>
      <w:r w:rsidRPr="002C13F3">
        <w:rPr>
          <w:rFonts w:ascii="Century" w:hAnsi="Century"/>
          <w:sz w:val="24"/>
          <w:szCs w:val="24"/>
        </w:rPr>
        <w:t>EM</w:t>
      </w:r>
      <w:r w:rsidRPr="002C13F3">
        <w:rPr>
          <w:rFonts w:ascii="Century" w:hAnsi="Century"/>
          <w:sz w:val="24"/>
          <w:szCs w:val="24"/>
        </w:rPr>
        <w:tab/>
      </w:r>
      <w:r w:rsidRPr="002C13F3">
        <w:rPr>
          <w:rFonts w:ascii="Century" w:hAnsi="Century"/>
          <w:sz w:val="24"/>
          <w:szCs w:val="24"/>
        </w:rPr>
        <w:tab/>
      </w:r>
      <w:r w:rsidR="00187029">
        <w:rPr>
          <w:rFonts w:ascii="Century" w:hAnsi="Century"/>
          <w:sz w:val="24"/>
          <w:szCs w:val="24"/>
        </w:rPr>
        <w:tab/>
      </w:r>
      <w:r w:rsidRPr="002C13F3">
        <w:rPr>
          <w:rFonts w:ascii="Century" w:hAnsi="Century"/>
          <w:sz w:val="24"/>
          <w:szCs w:val="24"/>
        </w:rPr>
        <w:t>Estados miembros</w:t>
      </w:r>
    </w:p>
    <w:p w:rsidR="00312E23" w:rsidRDefault="00312E23" w:rsidP="002D11BC">
      <w:pPr>
        <w:spacing w:after="240" w:line="360" w:lineRule="auto"/>
        <w:jc w:val="both"/>
        <w:rPr>
          <w:rFonts w:ascii="Century" w:hAnsi="Century"/>
          <w:sz w:val="24"/>
          <w:szCs w:val="24"/>
        </w:rPr>
      </w:pPr>
      <w:r>
        <w:rPr>
          <w:rFonts w:ascii="Century" w:hAnsi="Century"/>
          <w:sz w:val="24"/>
          <w:szCs w:val="24"/>
        </w:rPr>
        <w:t>ICEX</w:t>
      </w:r>
      <w:r>
        <w:rPr>
          <w:rFonts w:ascii="Century" w:hAnsi="Century"/>
          <w:sz w:val="24"/>
          <w:szCs w:val="24"/>
        </w:rPr>
        <w:tab/>
      </w:r>
      <w:r>
        <w:rPr>
          <w:rFonts w:ascii="Century" w:hAnsi="Century"/>
          <w:sz w:val="24"/>
          <w:szCs w:val="24"/>
        </w:rPr>
        <w:tab/>
      </w:r>
      <w:r>
        <w:rPr>
          <w:rFonts w:ascii="Century" w:hAnsi="Century"/>
          <w:sz w:val="24"/>
          <w:szCs w:val="24"/>
        </w:rPr>
        <w:tab/>
      </w:r>
      <w:r w:rsidRPr="002C13F3">
        <w:rPr>
          <w:rFonts w:ascii="Century" w:hAnsi="Century"/>
          <w:sz w:val="24"/>
          <w:szCs w:val="24"/>
        </w:rPr>
        <w:t>Instituto Español de Comercio Exterior</w:t>
      </w:r>
    </w:p>
    <w:p w:rsidR="004C1D28" w:rsidRDefault="004C1D28" w:rsidP="002D11BC">
      <w:pPr>
        <w:spacing w:after="240" w:line="360" w:lineRule="auto"/>
        <w:jc w:val="both"/>
        <w:rPr>
          <w:rFonts w:ascii="Century" w:hAnsi="Century"/>
          <w:sz w:val="24"/>
          <w:szCs w:val="24"/>
        </w:rPr>
      </w:pPr>
      <w:r>
        <w:rPr>
          <w:rFonts w:ascii="Century" w:hAnsi="Century"/>
          <w:sz w:val="24"/>
          <w:szCs w:val="24"/>
        </w:rPr>
        <w:t>IRPF</w:t>
      </w:r>
      <w:r>
        <w:rPr>
          <w:rFonts w:ascii="Century" w:hAnsi="Century"/>
          <w:sz w:val="24"/>
          <w:szCs w:val="24"/>
        </w:rPr>
        <w:tab/>
      </w:r>
      <w:r>
        <w:rPr>
          <w:rFonts w:ascii="Century" w:hAnsi="Century"/>
          <w:sz w:val="24"/>
          <w:szCs w:val="24"/>
        </w:rPr>
        <w:tab/>
      </w:r>
      <w:r>
        <w:rPr>
          <w:rFonts w:ascii="Century" w:hAnsi="Century"/>
          <w:sz w:val="24"/>
          <w:szCs w:val="24"/>
        </w:rPr>
        <w:tab/>
        <w:t>Impuesto sobre la Renta de las Personas Físicas</w:t>
      </w:r>
    </w:p>
    <w:p w:rsidR="00797F75" w:rsidRDefault="00BA1D6B" w:rsidP="002D11BC">
      <w:pPr>
        <w:spacing w:after="240" w:line="360" w:lineRule="auto"/>
        <w:jc w:val="both"/>
        <w:rPr>
          <w:rFonts w:ascii="Century" w:hAnsi="Century"/>
          <w:sz w:val="24"/>
          <w:szCs w:val="24"/>
        </w:rPr>
      </w:pPr>
      <w:r>
        <w:rPr>
          <w:rFonts w:ascii="Century" w:hAnsi="Century"/>
          <w:sz w:val="24"/>
          <w:szCs w:val="24"/>
        </w:rPr>
        <w:t>ISUC</w:t>
      </w:r>
      <w:r w:rsidR="00797F75" w:rsidRPr="002C13F3">
        <w:rPr>
          <w:rFonts w:ascii="Century" w:hAnsi="Century"/>
          <w:sz w:val="24"/>
          <w:szCs w:val="24"/>
        </w:rPr>
        <w:tab/>
      </w:r>
      <w:r w:rsidR="00797F75" w:rsidRPr="002C13F3">
        <w:rPr>
          <w:rFonts w:ascii="Century" w:hAnsi="Century"/>
          <w:sz w:val="24"/>
          <w:szCs w:val="24"/>
        </w:rPr>
        <w:tab/>
      </w:r>
      <w:r w:rsidR="00797F75">
        <w:rPr>
          <w:rFonts w:ascii="Century" w:hAnsi="Century"/>
          <w:sz w:val="24"/>
          <w:szCs w:val="24"/>
        </w:rPr>
        <w:tab/>
      </w:r>
      <w:r w:rsidR="00797F75" w:rsidRPr="002C13F3">
        <w:rPr>
          <w:rFonts w:ascii="Century" w:hAnsi="Century"/>
          <w:sz w:val="24"/>
          <w:szCs w:val="24"/>
        </w:rPr>
        <w:t>Impuesto sobre Sucesiones</w:t>
      </w:r>
    </w:p>
    <w:p w:rsidR="004C1D28" w:rsidRPr="002C13F3" w:rsidRDefault="004C1D28" w:rsidP="002D11BC">
      <w:pPr>
        <w:spacing w:after="240" w:line="360" w:lineRule="auto"/>
        <w:jc w:val="both"/>
        <w:rPr>
          <w:rFonts w:ascii="Century" w:hAnsi="Century"/>
          <w:sz w:val="24"/>
          <w:szCs w:val="24"/>
        </w:rPr>
      </w:pPr>
      <w:r>
        <w:rPr>
          <w:rFonts w:ascii="Century" w:hAnsi="Century"/>
          <w:sz w:val="24"/>
          <w:szCs w:val="24"/>
        </w:rPr>
        <w:t>IVA</w:t>
      </w:r>
      <w:r>
        <w:rPr>
          <w:rFonts w:ascii="Century" w:hAnsi="Century"/>
          <w:sz w:val="24"/>
          <w:szCs w:val="24"/>
        </w:rPr>
        <w:tab/>
      </w:r>
      <w:r>
        <w:rPr>
          <w:rFonts w:ascii="Century" w:hAnsi="Century"/>
          <w:sz w:val="24"/>
          <w:szCs w:val="24"/>
        </w:rPr>
        <w:tab/>
      </w:r>
      <w:r>
        <w:rPr>
          <w:rFonts w:ascii="Century" w:hAnsi="Century"/>
          <w:sz w:val="24"/>
          <w:szCs w:val="24"/>
        </w:rPr>
        <w:tab/>
        <w:t>Impuesto sobre el Valor Añadido</w:t>
      </w:r>
    </w:p>
    <w:p w:rsidR="00073816" w:rsidRPr="002C13F3" w:rsidRDefault="00073816" w:rsidP="002D11BC">
      <w:pPr>
        <w:spacing w:after="240" w:line="360" w:lineRule="auto"/>
        <w:jc w:val="both"/>
        <w:rPr>
          <w:rFonts w:ascii="Century" w:hAnsi="Century"/>
          <w:sz w:val="24"/>
          <w:szCs w:val="24"/>
        </w:rPr>
      </w:pPr>
      <w:r>
        <w:rPr>
          <w:rFonts w:ascii="Century" w:hAnsi="Century"/>
          <w:sz w:val="24"/>
          <w:szCs w:val="24"/>
        </w:rPr>
        <w:t>LGT</w:t>
      </w:r>
      <w:r>
        <w:rPr>
          <w:rFonts w:ascii="Century" w:hAnsi="Century"/>
          <w:sz w:val="24"/>
          <w:szCs w:val="24"/>
        </w:rPr>
        <w:tab/>
      </w:r>
      <w:r>
        <w:rPr>
          <w:rFonts w:ascii="Century" w:hAnsi="Century"/>
          <w:sz w:val="24"/>
          <w:szCs w:val="24"/>
        </w:rPr>
        <w:tab/>
      </w:r>
      <w:r>
        <w:rPr>
          <w:rFonts w:ascii="Century" w:hAnsi="Century"/>
          <w:sz w:val="24"/>
          <w:szCs w:val="24"/>
        </w:rPr>
        <w:tab/>
        <w:t>Ley General Tributaria</w:t>
      </w:r>
    </w:p>
    <w:p w:rsidR="00073816" w:rsidRDefault="00E44243" w:rsidP="002D11BC">
      <w:pPr>
        <w:spacing w:after="240" w:line="360" w:lineRule="auto"/>
        <w:jc w:val="both"/>
        <w:rPr>
          <w:rFonts w:ascii="Century" w:hAnsi="Century"/>
          <w:sz w:val="24"/>
          <w:szCs w:val="24"/>
        </w:rPr>
      </w:pPr>
      <w:r w:rsidRPr="002C13F3">
        <w:rPr>
          <w:rFonts w:ascii="Century" w:hAnsi="Century"/>
          <w:sz w:val="24"/>
          <w:szCs w:val="24"/>
        </w:rPr>
        <w:t>LISD</w:t>
      </w:r>
      <w:r w:rsidRPr="002C13F3">
        <w:rPr>
          <w:rFonts w:ascii="Century" w:hAnsi="Century"/>
          <w:sz w:val="24"/>
          <w:szCs w:val="24"/>
        </w:rPr>
        <w:tab/>
      </w:r>
      <w:r w:rsidRPr="002C13F3">
        <w:rPr>
          <w:rFonts w:ascii="Century" w:hAnsi="Century"/>
          <w:sz w:val="24"/>
          <w:szCs w:val="24"/>
        </w:rPr>
        <w:tab/>
      </w:r>
      <w:r w:rsidR="00187029">
        <w:rPr>
          <w:rFonts w:ascii="Century" w:hAnsi="Century"/>
          <w:sz w:val="24"/>
          <w:szCs w:val="24"/>
        </w:rPr>
        <w:tab/>
      </w:r>
      <w:r w:rsidRPr="002C13F3">
        <w:rPr>
          <w:rFonts w:ascii="Century" w:hAnsi="Century"/>
          <w:sz w:val="24"/>
          <w:szCs w:val="24"/>
        </w:rPr>
        <w:t>Ley del Impuesto sobre Sucesiones y Donaciones</w:t>
      </w:r>
    </w:p>
    <w:p w:rsidR="004C1D28" w:rsidRDefault="004C1D28" w:rsidP="002D11BC">
      <w:pPr>
        <w:spacing w:after="240" w:line="360" w:lineRule="auto"/>
        <w:jc w:val="both"/>
        <w:rPr>
          <w:rFonts w:ascii="Century" w:hAnsi="Century"/>
          <w:sz w:val="24"/>
          <w:szCs w:val="24"/>
        </w:rPr>
      </w:pPr>
      <w:r>
        <w:rPr>
          <w:rFonts w:ascii="Century" w:hAnsi="Century"/>
          <w:sz w:val="24"/>
          <w:szCs w:val="24"/>
        </w:rPr>
        <w:t>LOFCA</w:t>
      </w:r>
      <w:r>
        <w:rPr>
          <w:rFonts w:ascii="Century" w:hAnsi="Century"/>
          <w:sz w:val="24"/>
          <w:szCs w:val="24"/>
        </w:rPr>
        <w:tab/>
      </w:r>
      <w:r>
        <w:rPr>
          <w:rFonts w:ascii="Century" w:hAnsi="Century"/>
          <w:sz w:val="24"/>
          <w:szCs w:val="24"/>
        </w:rPr>
        <w:tab/>
        <w:t xml:space="preserve">Ley Orgánica de Financiación de las Comunidades </w:t>
      </w:r>
      <w:r>
        <w:rPr>
          <w:rFonts w:ascii="Century" w:hAnsi="Century"/>
          <w:sz w:val="24"/>
          <w:szCs w:val="24"/>
        </w:rPr>
        <w:tab/>
      </w:r>
      <w:r>
        <w:rPr>
          <w:rFonts w:ascii="Century" w:hAnsi="Century"/>
          <w:sz w:val="24"/>
          <w:szCs w:val="24"/>
        </w:rPr>
        <w:tab/>
      </w:r>
      <w:r>
        <w:rPr>
          <w:rFonts w:ascii="Century" w:hAnsi="Century"/>
          <w:sz w:val="24"/>
          <w:szCs w:val="24"/>
        </w:rPr>
        <w:tab/>
      </w:r>
      <w:r>
        <w:rPr>
          <w:rFonts w:ascii="Century" w:hAnsi="Century"/>
          <w:sz w:val="24"/>
          <w:szCs w:val="24"/>
        </w:rPr>
        <w:tab/>
        <w:t>Autónomas</w:t>
      </w:r>
    </w:p>
    <w:p w:rsidR="001D0AFD" w:rsidRPr="001D0AFD" w:rsidRDefault="001D0AFD" w:rsidP="002D11BC">
      <w:pPr>
        <w:spacing w:after="240" w:line="360" w:lineRule="auto"/>
        <w:jc w:val="both"/>
        <w:rPr>
          <w:rFonts w:ascii="Century" w:hAnsi="Century"/>
          <w:sz w:val="24"/>
          <w:szCs w:val="24"/>
        </w:rPr>
      </w:pPr>
      <w:r w:rsidRPr="001D0AFD">
        <w:rPr>
          <w:rFonts w:ascii="Century" w:hAnsi="Century"/>
          <w:sz w:val="24"/>
          <w:szCs w:val="24"/>
        </w:rPr>
        <w:t>OCDE</w:t>
      </w:r>
      <w:r w:rsidRPr="001D0AFD">
        <w:rPr>
          <w:rFonts w:ascii="Century" w:hAnsi="Century"/>
          <w:sz w:val="24"/>
          <w:szCs w:val="24"/>
        </w:rPr>
        <w:tab/>
      </w:r>
      <w:r w:rsidRPr="001D0AFD">
        <w:rPr>
          <w:rFonts w:ascii="Century" w:hAnsi="Century"/>
          <w:sz w:val="24"/>
          <w:szCs w:val="24"/>
        </w:rPr>
        <w:tab/>
      </w:r>
      <w:r w:rsidRPr="001D0AFD">
        <w:rPr>
          <w:rFonts w:ascii="Century" w:hAnsi="Century"/>
          <w:iCs/>
          <w:sz w:val="24"/>
          <w:szCs w:val="24"/>
        </w:rPr>
        <w:t xml:space="preserve">Organización para la Cooperación y el Desarrollo </w:t>
      </w:r>
      <w:r>
        <w:rPr>
          <w:rFonts w:ascii="Century" w:hAnsi="Century"/>
          <w:iCs/>
          <w:sz w:val="24"/>
          <w:szCs w:val="24"/>
        </w:rPr>
        <w:tab/>
      </w:r>
      <w:r>
        <w:rPr>
          <w:rFonts w:ascii="Century" w:hAnsi="Century"/>
          <w:iCs/>
          <w:sz w:val="24"/>
          <w:szCs w:val="24"/>
        </w:rPr>
        <w:tab/>
      </w:r>
      <w:r>
        <w:rPr>
          <w:rFonts w:ascii="Century" w:hAnsi="Century"/>
          <w:iCs/>
          <w:sz w:val="24"/>
          <w:szCs w:val="24"/>
        </w:rPr>
        <w:tab/>
      </w:r>
      <w:r>
        <w:rPr>
          <w:rFonts w:ascii="Century" w:hAnsi="Century"/>
          <w:iCs/>
          <w:sz w:val="24"/>
          <w:szCs w:val="24"/>
        </w:rPr>
        <w:tab/>
      </w:r>
      <w:r>
        <w:rPr>
          <w:rFonts w:ascii="Century" w:hAnsi="Century"/>
          <w:iCs/>
          <w:sz w:val="24"/>
          <w:szCs w:val="24"/>
        </w:rPr>
        <w:tab/>
      </w:r>
      <w:r w:rsidRPr="001D0AFD">
        <w:rPr>
          <w:rFonts w:ascii="Century" w:hAnsi="Century"/>
          <w:iCs/>
          <w:sz w:val="24"/>
          <w:szCs w:val="24"/>
        </w:rPr>
        <w:t>Económicos</w:t>
      </w:r>
      <w:r w:rsidRPr="001D0AFD">
        <w:rPr>
          <w:rFonts w:ascii="Century" w:hAnsi="Century"/>
          <w:i/>
          <w:iCs/>
          <w:sz w:val="24"/>
          <w:szCs w:val="24"/>
        </w:rPr>
        <w:t xml:space="preserve"> </w:t>
      </w:r>
    </w:p>
    <w:p w:rsidR="00E44243" w:rsidRDefault="00E44243" w:rsidP="002D11BC">
      <w:pPr>
        <w:spacing w:after="240" w:line="360" w:lineRule="auto"/>
        <w:jc w:val="both"/>
        <w:rPr>
          <w:rFonts w:ascii="Century" w:hAnsi="Century"/>
          <w:sz w:val="24"/>
          <w:szCs w:val="24"/>
        </w:rPr>
      </w:pPr>
      <w:r w:rsidRPr="002C13F3">
        <w:rPr>
          <w:rFonts w:ascii="Century" w:hAnsi="Century"/>
          <w:sz w:val="24"/>
          <w:szCs w:val="24"/>
        </w:rPr>
        <w:t>RISD</w:t>
      </w:r>
      <w:r w:rsidRPr="002C13F3">
        <w:rPr>
          <w:rFonts w:ascii="Century" w:hAnsi="Century"/>
          <w:sz w:val="24"/>
          <w:szCs w:val="24"/>
        </w:rPr>
        <w:tab/>
      </w:r>
      <w:r w:rsidRPr="002C13F3">
        <w:rPr>
          <w:rFonts w:ascii="Century" w:hAnsi="Century"/>
          <w:sz w:val="24"/>
          <w:szCs w:val="24"/>
        </w:rPr>
        <w:tab/>
      </w:r>
      <w:r w:rsidR="00187029">
        <w:rPr>
          <w:rFonts w:ascii="Century" w:hAnsi="Century"/>
          <w:sz w:val="24"/>
          <w:szCs w:val="24"/>
        </w:rPr>
        <w:tab/>
      </w:r>
      <w:r w:rsidRPr="002C13F3">
        <w:rPr>
          <w:rFonts w:ascii="Century" w:hAnsi="Century"/>
          <w:sz w:val="24"/>
          <w:szCs w:val="24"/>
        </w:rPr>
        <w:t>Reglamento del Impuesto sobre Sucesiones y Donaciones</w:t>
      </w:r>
    </w:p>
    <w:p w:rsidR="00187029" w:rsidRDefault="00187029" w:rsidP="002D11BC">
      <w:pPr>
        <w:spacing w:after="240" w:line="360" w:lineRule="auto"/>
        <w:jc w:val="both"/>
        <w:rPr>
          <w:rFonts w:ascii="Century" w:hAnsi="Century"/>
          <w:sz w:val="24"/>
          <w:szCs w:val="24"/>
        </w:rPr>
      </w:pPr>
      <w:r>
        <w:rPr>
          <w:rFonts w:ascii="Century" w:hAnsi="Century"/>
          <w:sz w:val="24"/>
          <w:szCs w:val="24"/>
        </w:rPr>
        <w:t>STC</w:t>
      </w:r>
      <w:r>
        <w:rPr>
          <w:rFonts w:ascii="Century" w:hAnsi="Century"/>
          <w:sz w:val="24"/>
          <w:szCs w:val="24"/>
        </w:rPr>
        <w:tab/>
      </w:r>
      <w:r>
        <w:rPr>
          <w:rFonts w:ascii="Century" w:hAnsi="Century"/>
          <w:sz w:val="24"/>
          <w:szCs w:val="24"/>
        </w:rPr>
        <w:tab/>
      </w:r>
      <w:r>
        <w:rPr>
          <w:rFonts w:ascii="Century" w:hAnsi="Century"/>
          <w:sz w:val="24"/>
          <w:szCs w:val="24"/>
        </w:rPr>
        <w:tab/>
        <w:t>Sentencia del Tribunal Constitucional</w:t>
      </w:r>
    </w:p>
    <w:p w:rsidR="00187029" w:rsidRDefault="00187029" w:rsidP="002D11BC">
      <w:pPr>
        <w:spacing w:after="240" w:line="360" w:lineRule="auto"/>
        <w:jc w:val="both"/>
        <w:rPr>
          <w:rFonts w:ascii="Century" w:hAnsi="Century"/>
          <w:sz w:val="24"/>
          <w:szCs w:val="24"/>
        </w:rPr>
      </w:pPr>
      <w:r>
        <w:rPr>
          <w:rFonts w:ascii="Century" w:hAnsi="Century"/>
          <w:sz w:val="24"/>
          <w:szCs w:val="24"/>
        </w:rPr>
        <w:t>STJCE</w:t>
      </w:r>
      <w:r>
        <w:rPr>
          <w:rFonts w:ascii="Century" w:hAnsi="Century"/>
          <w:sz w:val="24"/>
          <w:szCs w:val="24"/>
        </w:rPr>
        <w:tab/>
      </w:r>
      <w:r>
        <w:rPr>
          <w:rFonts w:ascii="Century" w:hAnsi="Century"/>
          <w:sz w:val="24"/>
          <w:szCs w:val="24"/>
        </w:rPr>
        <w:tab/>
        <w:t xml:space="preserve">Sentencia del Tribunal de Justicia de las Comunidades </w:t>
      </w:r>
      <w:r>
        <w:rPr>
          <w:rFonts w:ascii="Century" w:hAnsi="Century"/>
          <w:sz w:val="24"/>
          <w:szCs w:val="24"/>
        </w:rPr>
        <w:tab/>
      </w:r>
      <w:r>
        <w:rPr>
          <w:rFonts w:ascii="Century" w:hAnsi="Century"/>
          <w:sz w:val="24"/>
          <w:szCs w:val="24"/>
        </w:rPr>
        <w:tab/>
      </w:r>
      <w:r>
        <w:rPr>
          <w:rFonts w:ascii="Century" w:hAnsi="Century"/>
          <w:sz w:val="24"/>
          <w:szCs w:val="24"/>
        </w:rPr>
        <w:tab/>
      </w:r>
      <w:r>
        <w:rPr>
          <w:rFonts w:ascii="Century" w:hAnsi="Century"/>
          <w:sz w:val="24"/>
          <w:szCs w:val="24"/>
        </w:rPr>
        <w:tab/>
        <w:t>Europeas</w:t>
      </w:r>
    </w:p>
    <w:p w:rsidR="00187029" w:rsidRPr="002C13F3" w:rsidRDefault="00187029" w:rsidP="002D11BC">
      <w:pPr>
        <w:spacing w:after="240" w:line="360" w:lineRule="auto"/>
        <w:jc w:val="both"/>
        <w:rPr>
          <w:rFonts w:ascii="Century" w:hAnsi="Century"/>
          <w:sz w:val="24"/>
          <w:szCs w:val="24"/>
        </w:rPr>
      </w:pPr>
      <w:r>
        <w:rPr>
          <w:rFonts w:ascii="Century" w:hAnsi="Century"/>
          <w:sz w:val="24"/>
          <w:szCs w:val="24"/>
        </w:rPr>
        <w:lastRenderedPageBreak/>
        <w:t>STJUE</w:t>
      </w:r>
      <w:r>
        <w:rPr>
          <w:rFonts w:ascii="Century" w:hAnsi="Century"/>
          <w:sz w:val="24"/>
          <w:szCs w:val="24"/>
        </w:rPr>
        <w:tab/>
      </w:r>
      <w:r>
        <w:rPr>
          <w:rFonts w:ascii="Century" w:hAnsi="Century"/>
          <w:sz w:val="24"/>
          <w:szCs w:val="24"/>
        </w:rPr>
        <w:tab/>
        <w:t>Sentencia del Tribunal de Justicia de la Unión Europea</w:t>
      </w:r>
    </w:p>
    <w:p w:rsidR="00C76A5C" w:rsidRPr="002C13F3" w:rsidRDefault="00C76A5C" w:rsidP="002D11BC">
      <w:pPr>
        <w:spacing w:after="240" w:line="360" w:lineRule="auto"/>
        <w:jc w:val="both"/>
        <w:rPr>
          <w:rFonts w:ascii="Century" w:hAnsi="Century"/>
          <w:sz w:val="24"/>
          <w:szCs w:val="24"/>
        </w:rPr>
      </w:pPr>
      <w:r w:rsidRPr="002C13F3">
        <w:rPr>
          <w:rFonts w:ascii="Century" w:hAnsi="Century"/>
          <w:sz w:val="24"/>
          <w:szCs w:val="24"/>
        </w:rPr>
        <w:t>TC</w:t>
      </w:r>
      <w:r w:rsidRPr="002C13F3">
        <w:rPr>
          <w:rFonts w:ascii="Century" w:hAnsi="Century"/>
          <w:sz w:val="24"/>
          <w:szCs w:val="24"/>
        </w:rPr>
        <w:tab/>
      </w:r>
      <w:r w:rsidRPr="002C13F3">
        <w:rPr>
          <w:rFonts w:ascii="Century" w:hAnsi="Century"/>
          <w:sz w:val="24"/>
          <w:szCs w:val="24"/>
        </w:rPr>
        <w:tab/>
      </w:r>
      <w:r w:rsidR="00187029">
        <w:rPr>
          <w:rFonts w:ascii="Century" w:hAnsi="Century"/>
          <w:sz w:val="24"/>
          <w:szCs w:val="24"/>
        </w:rPr>
        <w:tab/>
      </w:r>
      <w:r w:rsidRPr="002C13F3">
        <w:rPr>
          <w:rFonts w:ascii="Century" w:hAnsi="Century"/>
          <w:sz w:val="24"/>
          <w:szCs w:val="24"/>
        </w:rPr>
        <w:t>Tribunal Constitucional</w:t>
      </w:r>
    </w:p>
    <w:p w:rsidR="00E44243" w:rsidRDefault="00E44243" w:rsidP="002D11BC">
      <w:pPr>
        <w:spacing w:after="240" w:line="360" w:lineRule="auto"/>
        <w:jc w:val="both"/>
        <w:rPr>
          <w:rFonts w:ascii="Century" w:hAnsi="Century"/>
          <w:sz w:val="24"/>
          <w:szCs w:val="24"/>
        </w:rPr>
      </w:pPr>
      <w:r w:rsidRPr="002C13F3">
        <w:rPr>
          <w:rFonts w:ascii="Century" w:hAnsi="Century"/>
          <w:sz w:val="24"/>
          <w:szCs w:val="24"/>
        </w:rPr>
        <w:t>TFUE</w:t>
      </w:r>
      <w:r w:rsidRPr="002C13F3">
        <w:rPr>
          <w:rFonts w:ascii="Century" w:hAnsi="Century"/>
          <w:sz w:val="24"/>
          <w:szCs w:val="24"/>
        </w:rPr>
        <w:tab/>
      </w:r>
      <w:r w:rsidRPr="002C13F3">
        <w:rPr>
          <w:rFonts w:ascii="Century" w:hAnsi="Century"/>
          <w:sz w:val="24"/>
          <w:szCs w:val="24"/>
        </w:rPr>
        <w:tab/>
      </w:r>
      <w:r w:rsidR="00187029">
        <w:rPr>
          <w:rFonts w:ascii="Century" w:hAnsi="Century"/>
          <w:sz w:val="24"/>
          <w:szCs w:val="24"/>
        </w:rPr>
        <w:tab/>
      </w:r>
      <w:r w:rsidRPr="002C13F3">
        <w:rPr>
          <w:rFonts w:ascii="Century" w:hAnsi="Century"/>
          <w:sz w:val="24"/>
          <w:szCs w:val="24"/>
        </w:rPr>
        <w:t>Tratado de Funcionamiento de la Unión Europea</w:t>
      </w:r>
    </w:p>
    <w:p w:rsidR="00187029" w:rsidRPr="002C13F3" w:rsidRDefault="00187029" w:rsidP="002D11BC">
      <w:pPr>
        <w:spacing w:after="240" w:line="360" w:lineRule="auto"/>
        <w:jc w:val="both"/>
        <w:rPr>
          <w:rFonts w:ascii="Century" w:hAnsi="Century"/>
          <w:sz w:val="24"/>
          <w:szCs w:val="24"/>
        </w:rPr>
      </w:pPr>
      <w:r>
        <w:rPr>
          <w:rFonts w:ascii="Century" w:hAnsi="Century"/>
          <w:sz w:val="24"/>
          <w:szCs w:val="24"/>
        </w:rPr>
        <w:t>TJCE</w:t>
      </w:r>
      <w:r>
        <w:rPr>
          <w:rFonts w:ascii="Century" w:hAnsi="Century"/>
          <w:sz w:val="24"/>
          <w:szCs w:val="24"/>
        </w:rPr>
        <w:tab/>
      </w:r>
      <w:r>
        <w:rPr>
          <w:rFonts w:ascii="Century" w:hAnsi="Century"/>
          <w:sz w:val="24"/>
          <w:szCs w:val="24"/>
        </w:rPr>
        <w:tab/>
      </w:r>
      <w:r>
        <w:rPr>
          <w:rFonts w:ascii="Century" w:hAnsi="Century"/>
          <w:sz w:val="24"/>
          <w:szCs w:val="24"/>
        </w:rPr>
        <w:tab/>
        <w:t>Tribunal de Justicia de las Comunidades Europeas</w:t>
      </w:r>
    </w:p>
    <w:p w:rsidR="00825392" w:rsidRPr="002C13F3" w:rsidRDefault="00E44243" w:rsidP="002D11BC">
      <w:pPr>
        <w:spacing w:after="240" w:line="360" w:lineRule="auto"/>
        <w:jc w:val="both"/>
        <w:rPr>
          <w:rFonts w:ascii="Century" w:hAnsi="Century"/>
          <w:sz w:val="24"/>
          <w:szCs w:val="24"/>
        </w:rPr>
      </w:pPr>
      <w:r w:rsidRPr="002C13F3">
        <w:rPr>
          <w:rFonts w:ascii="Century" w:hAnsi="Century"/>
          <w:sz w:val="24"/>
          <w:szCs w:val="24"/>
        </w:rPr>
        <w:t>TJUE</w:t>
      </w:r>
      <w:r w:rsidRPr="002C13F3">
        <w:rPr>
          <w:rFonts w:ascii="Century" w:hAnsi="Century"/>
          <w:sz w:val="24"/>
          <w:szCs w:val="24"/>
        </w:rPr>
        <w:tab/>
      </w:r>
      <w:r w:rsidRPr="002C13F3">
        <w:rPr>
          <w:rFonts w:ascii="Century" w:hAnsi="Century"/>
          <w:sz w:val="24"/>
          <w:szCs w:val="24"/>
        </w:rPr>
        <w:tab/>
      </w:r>
      <w:r w:rsidR="00187029">
        <w:rPr>
          <w:rFonts w:ascii="Century" w:hAnsi="Century"/>
          <w:sz w:val="24"/>
          <w:szCs w:val="24"/>
        </w:rPr>
        <w:tab/>
      </w:r>
      <w:r w:rsidRPr="002C13F3">
        <w:rPr>
          <w:rFonts w:ascii="Century" w:hAnsi="Century"/>
          <w:sz w:val="24"/>
          <w:szCs w:val="24"/>
        </w:rPr>
        <w:t>Tribunal de Justicia de la Unión Europea</w:t>
      </w:r>
    </w:p>
    <w:p w:rsidR="00E44243" w:rsidRDefault="00E44243" w:rsidP="002D11BC">
      <w:pPr>
        <w:spacing w:after="240" w:line="360" w:lineRule="auto"/>
        <w:jc w:val="both"/>
        <w:rPr>
          <w:rFonts w:ascii="Century" w:hAnsi="Century"/>
          <w:sz w:val="24"/>
          <w:szCs w:val="24"/>
        </w:rPr>
      </w:pPr>
      <w:r w:rsidRPr="002C13F3">
        <w:rPr>
          <w:rFonts w:ascii="Century" w:hAnsi="Century"/>
          <w:sz w:val="24"/>
          <w:szCs w:val="24"/>
        </w:rPr>
        <w:t>UE</w:t>
      </w:r>
      <w:r w:rsidR="009850A6">
        <w:rPr>
          <w:rFonts w:ascii="Century" w:hAnsi="Century"/>
          <w:sz w:val="24"/>
          <w:szCs w:val="24"/>
        </w:rPr>
        <w:tab/>
      </w:r>
      <w:r w:rsidRPr="002C13F3">
        <w:rPr>
          <w:rFonts w:ascii="Century" w:hAnsi="Century"/>
          <w:sz w:val="24"/>
          <w:szCs w:val="24"/>
        </w:rPr>
        <w:tab/>
      </w:r>
      <w:r w:rsidR="00187029">
        <w:rPr>
          <w:rFonts w:ascii="Century" w:hAnsi="Century"/>
          <w:sz w:val="24"/>
          <w:szCs w:val="24"/>
        </w:rPr>
        <w:tab/>
      </w:r>
      <w:r w:rsidRPr="002C13F3">
        <w:rPr>
          <w:rFonts w:ascii="Century" w:hAnsi="Century"/>
          <w:sz w:val="24"/>
          <w:szCs w:val="24"/>
        </w:rPr>
        <w:t>Unión Europea</w:t>
      </w:r>
    </w:p>
    <w:p w:rsidR="003870C7" w:rsidRDefault="003870C7" w:rsidP="002D11BC">
      <w:pPr>
        <w:tabs>
          <w:tab w:val="left" w:pos="7230"/>
        </w:tabs>
        <w:spacing w:after="240" w:line="360" w:lineRule="auto"/>
        <w:jc w:val="both"/>
        <w:rPr>
          <w:rFonts w:ascii="Century" w:hAnsi="Century"/>
          <w:b/>
          <w:sz w:val="24"/>
          <w:szCs w:val="24"/>
        </w:rPr>
      </w:pPr>
    </w:p>
    <w:p w:rsidR="00FE08DE" w:rsidRDefault="00FE08DE" w:rsidP="002D11BC">
      <w:pPr>
        <w:tabs>
          <w:tab w:val="left" w:pos="7230"/>
        </w:tabs>
        <w:spacing w:after="240" w:line="360" w:lineRule="auto"/>
        <w:jc w:val="both"/>
        <w:rPr>
          <w:rFonts w:ascii="Century" w:hAnsi="Century"/>
          <w:b/>
          <w:sz w:val="24"/>
          <w:szCs w:val="24"/>
        </w:rPr>
      </w:pPr>
    </w:p>
    <w:p w:rsidR="00FE08DE" w:rsidRDefault="00FE08DE" w:rsidP="002D11BC">
      <w:pPr>
        <w:tabs>
          <w:tab w:val="left" w:pos="7230"/>
        </w:tabs>
        <w:spacing w:after="240" w:line="360" w:lineRule="auto"/>
        <w:jc w:val="both"/>
        <w:rPr>
          <w:rFonts w:ascii="Century" w:hAnsi="Century"/>
          <w:b/>
          <w:sz w:val="24"/>
          <w:szCs w:val="24"/>
        </w:rPr>
      </w:pPr>
    </w:p>
    <w:p w:rsidR="00FE08DE" w:rsidRDefault="00FE08DE" w:rsidP="002D11BC">
      <w:pPr>
        <w:tabs>
          <w:tab w:val="left" w:pos="7230"/>
        </w:tabs>
        <w:spacing w:after="240" w:line="360" w:lineRule="auto"/>
        <w:jc w:val="both"/>
        <w:rPr>
          <w:rFonts w:ascii="Century" w:hAnsi="Century"/>
          <w:b/>
          <w:sz w:val="24"/>
          <w:szCs w:val="24"/>
        </w:rPr>
      </w:pPr>
    </w:p>
    <w:p w:rsidR="00FE08DE" w:rsidRDefault="00FE08DE" w:rsidP="002D11BC">
      <w:pPr>
        <w:tabs>
          <w:tab w:val="left" w:pos="7230"/>
        </w:tabs>
        <w:spacing w:after="240" w:line="360" w:lineRule="auto"/>
        <w:jc w:val="both"/>
        <w:rPr>
          <w:rFonts w:ascii="Century" w:hAnsi="Century"/>
          <w:b/>
          <w:sz w:val="24"/>
          <w:szCs w:val="24"/>
        </w:rPr>
      </w:pPr>
    </w:p>
    <w:p w:rsidR="00FE08DE" w:rsidRDefault="00FE08DE" w:rsidP="002D11BC">
      <w:pPr>
        <w:tabs>
          <w:tab w:val="left" w:pos="7230"/>
        </w:tabs>
        <w:spacing w:after="240" w:line="360" w:lineRule="auto"/>
        <w:jc w:val="both"/>
        <w:rPr>
          <w:rFonts w:ascii="Century" w:hAnsi="Century"/>
          <w:b/>
          <w:sz w:val="24"/>
          <w:szCs w:val="24"/>
        </w:rPr>
      </w:pPr>
    </w:p>
    <w:p w:rsidR="00FE08DE" w:rsidRDefault="00FE08DE" w:rsidP="002D11BC">
      <w:pPr>
        <w:tabs>
          <w:tab w:val="left" w:pos="7230"/>
        </w:tabs>
        <w:spacing w:after="240" w:line="360" w:lineRule="auto"/>
        <w:jc w:val="both"/>
        <w:rPr>
          <w:rFonts w:ascii="Century" w:hAnsi="Century"/>
          <w:b/>
          <w:sz w:val="24"/>
          <w:szCs w:val="24"/>
        </w:rPr>
      </w:pPr>
    </w:p>
    <w:p w:rsidR="00FE08DE" w:rsidRDefault="00FE08DE" w:rsidP="002D11BC">
      <w:pPr>
        <w:tabs>
          <w:tab w:val="left" w:pos="7230"/>
        </w:tabs>
        <w:spacing w:after="240" w:line="360" w:lineRule="auto"/>
        <w:jc w:val="both"/>
        <w:rPr>
          <w:rFonts w:ascii="Century" w:hAnsi="Century"/>
          <w:b/>
          <w:sz w:val="24"/>
          <w:szCs w:val="24"/>
        </w:rPr>
      </w:pPr>
    </w:p>
    <w:p w:rsidR="00FE08DE" w:rsidRDefault="00FE08DE" w:rsidP="002D11BC">
      <w:pPr>
        <w:tabs>
          <w:tab w:val="left" w:pos="7230"/>
        </w:tabs>
        <w:spacing w:after="240" w:line="360" w:lineRule="auto"/>
        <w:jc w:val="both"/>
        <w:rPr>
          <w:rFonts w:ascii="Century" w:hAnsi="Century"/>
          <w:b/>
          <w:sz w:val="24"/>
          <w:szCs w:val="24"/>
        </w:rPr>
      </w:pPr>
    </w:p>
    <w:p w:rsidR="00FE08DE" w:rsidRDefault="00FE08DE" w:rsidP="002D11BC">
      <w:pPr>
        <w:tabs>
          <w:tab w:val="left" w:pos="7230"/>
        </w:tabs>
        <w:spacing w:after="240" w:line="360" w:lineRule="auto"/>
        <w:jc w:val="both"/>
        <w:rPr>
          <w:rFonts w:ascii="Century" w:hAnsi="Century"/>
          <w:b/>
          <w:sz w:val="24"/>
          <w:szCs w:val="24"/>
        </w:rPr>
      </w:pPr>
    </w:p>
    <w:p w:rsidR="00FE08DE" w:rsidRDefault="00FE08DE" w:rsidP="002D11BC">
      <w:pPr>
        <w:tabs>
          <w:tab w:val="left" w:pos="7230"/>
        </w:tabs>
        <w:spacing w:after="240" w:line="360" w:lineRule="auto"/>
        <w:jc w:val="both"/>
        <w:rPr>
          <w:rFonts w:ascii="Century" w:hAnsi="Century"/>
          <w:b/>
          <w:sz w:val="24"/>
          <w:szCs w:val="24"/>
        </w:rPr>
      </w:pPr>
    </w:p>
    <w:p w:rsidR="00FE08DE" w:rsidRDefault="00FE08DE" w:rsidP="002D11BC">
      <w:pPr>
        <w:tabs>
          <w:tab w:val="left" w:pos="7230"/>
        </w:tabs>
        <w:spacing w:after="240" w:line="360" w:lineRule="auto"/>
        <w:jc w:val="both"/>
        <w:rPr>
          <w:rFonts w:ascii="Century" w:hAnsi="Century"/>
          <w:b/>
          <w:sz w:val="24"/>
          <w:szCs w:val="24"/>
        </w:rPr>
      </w:pPr>
    </w:p>
    <w:p w:rsidR="00FE08DE" w:rsidRDefault="00FE08DE" w:rsidP="002D11BC">
      <w:pPr>
        <w:tabs>
          <w:tab w:val="left" w:pos="7230"/>
        </w:tabs>
        <w:spacing w:after="240" w:line="360" w:lineRule="auto"/>
        <w:jc w:val="both"/>
        <w:rPr>
          <w:rFonts w:ascii="Century" w:hAnsi="Century"/>
          <w:b/>
          <w:sz w:val="24"/>
          <w:szCs w:val="24"/>
        </w:rPr>
      </w:pPr>
    </w:p>
    <w:p w:rsidR="00FE08DE" w:rsidRDefault="00FE08DE" w:rsidP="002D11BC">
      <w:pPr>
        <w:tabs>
          <w:tab w:val="left" w:pos="7230"/>
        </w:tabs>
        <w:spacing w:after="240" w:line="360" w:lineRule="auto"/>
        <w:jc w:val="both"/>
        <w:rPr>
          <w:rFonts w:ascii="Century" w:hAnsi="Century"/>
          <w:b/>
          <w:sz w:val="24"/>
          <w:szCs w:val="24"/>
        </w:rPr>
      </w:pPr>
    </w:p>
    <w:p w:rsidR="00FE08DE" w:rsidRDefault="00FE08DE" w:rsidP="00FE08DE">
      <w:pPr>
        <w:tabs>
          <w:tab w:val="left" w:pos="7230"/>
        </w:tabs>
        <w:spacing w:before="240" w:after="240" w:line="360" w:lineRule="auto"/>
        <w:jc w:val="both"/>
        <w:rPr>
          <w:rFonts w:ascii="Century" w:hAnsi="Century"/>
          <w:b/>
          <w:sz w:val="24"/>
          <w:szCs w:val="24"/>
        </w:rPr>
      </w:pPr>
    </w:p>
    <w:p w:rsidR="00687256" w:rsidRPr="002C13F3" w:rsidRDefault="001D551E" w:rsidP="00FE08DE">
      <w:pPr>
        <w:tabs>
          <w:tab w:val="left" w:pos="7230"/>
        </w:tabs>
        <w:spacing w:before="240" w:after="240" w:line="360" w:lineRule="auto"/>
        <w:jc w:val="both"/>
        <w:rPr>
          <w:rFonts w:ascii="Century" w:hAnsi="Century"/>
          <w:b/>
          <w:sz w:val="24"/>
          <w:szCs w:val="24"/>
        </w:rPr>
      </w:pPr>
      <w:r w:rsidRPr="002C13F3">
        <w:rPr>
          <w:rFonts w:ascii="Century" w:hAnsi="Century"/>
          <w:b/>
          <w:sz w:val="24"/>
          <w:szCs w:val="24"/>
        </w:rPr>
        <w:lastRenderedPageBreak/>
        <w:t xml:space="preserve">1. </w:t>
      </w:r>
      <w:r w:rsidR="00687256" w:rsidRPr="002C13F3">
        <w:rPr>
          <w:rFonts w:ascii="Century" w:hAnsi="Century"/>
          <w:b/>
          <w:sz w:val="24"/>
          <w:szCs w:val="24"/>
        </w:rPr>
        <w:t>INTRODUCCIÓN</w:t>
      </w:r>
    </w:p>
    <w:p w:rsidR="00687256" w:rsidRPr="002C13F3" w:rsidRDefault="0081584C" w:rsidP="002D11BC">
      <w:pPr>
        <w:tabs>
          <w:tab w:val="left" w:pos="0"/>
        </w:tabs>
        <w:spacing w:after="240" w:line="360" w:lineRule="auto"/>
        <w:jc w:val="both"/>
        <w:rPr>
          <w:rFonts w:ascii="Century" w:hAnsi="Century"/>
          <w:sz w:val="24"/>
          <w:szCs w:val="24"/>
        </w:rPr>
      </w:pPr>
      <w:r w:rsidRPr="002C13F3">
        <w:rPr>
          <w:rFonts w:ascii="Century" w:hAnsi="Century"/>
          <w:b/>
          <w:sz w:val="24"/>
          <w:szCs w:val="24"/>
        </w:rPr>
        <w:tab/>
      </w:r>
      <w:r w:rsidR="00A23009">
        <w:rPr>
          <w:rFonts w:ascii="Century" w:hAnsi="Century"/>
          <w:sz w:val="24"/>
          <w:szCs w:val="24"/>
        </w:rPr>
        <w:t xml:space="preserve">El trabajo </w:t>
      </w:r>
      <w:r w:rsidR="00502AFE">
        <w:rPr>
          <w:rFonts w:ascii="Century" w:hAnsi="Century"/>
          <w:sz w:val="24"/>
          <w:szCs w:val="24"/>
        </w:rPr>
        <w:t>realizado tiene por título “C</w:t>
      </w:r>
      <w:r w:rsidR="00A23009">
        <w:rPr>
          <w:rFonts w:ascii="Century" w:hAnsi="Century"/>
          <w:sz w:val="24"/>
          <w:szCs w:val="24"/>
        </w:rPr>
        <w:t>ompetencia</w:t>
      </w:r>
      <w:r w:rsidR="001B529A">
        <w:rPr>
          <w:rFonts w:ascii="Century" w:hAnsi="Century"/>
          <w:sz w:val="24"/>
          <w:szCs w:val="24"/>
        </w:rPr>
        <w:t xml:space="preserve"> fiscal</w:t>
      </w:r>
      <w:r w:rsidR="00A23009">
        <w:rPr>
          <w:rFonts w:ascii="Century" w:hAnsi="Century"/>
          <w:sz w:val="24"/>
          <w:szCs w:val="24"/>
        </w:rPr>
        <w:t xml:space="preserve"> del Impuesto sobre Sucesiones en la Unión Europea y en España</w:t>
      </w:r>
      <w:r w:rsidR="00A23009" w:rsidRPr="00A23009">
        <w:rPr>
          <w:rFonts w:cstheme="minorHAnsi"/>
          <w:sz w:val="24"/>
          <w:szCs w:val="24"/>
        </w:rPr>
        <w:t>:</w:t>
      </w:r>
      <w:r w:rsidR="00BA1D6B">
        <w:rPr>
          <w:rFonts w:ascii="Century" w:hAnsi="Century"/>
          <w:sz w:val="24"/>
          <w:szCs w:val="24"/>
        </w:rPr>
        <w:t xml:space="preserve"> análisis comparativo</w:t>
      </w:r>
      <w:r w:rsidR="00A23009">
        <w:rPr>
          <w:rFonts w:ascii="Century" w:hAnsi="Century"/>
          <w:sz w:val="24"/>
          <w:szCs w:val="24"/>
        </w:rPr>
        <w:t xml:space="preserve"> y problemática planteada”. Su</w:t>
      </w:r>
      <w:r w:rsidR="00526226" w:rsidRPr="002C13F3">
        <w:rPr>
          <w:rFonts w:ascii="Century" w:hAnsi="Century"/>
          <w:sz w:val="24"/>
          <w:szCs w:val="24"/>
        </w:rPr>
        <w:t xml:space="preserve"> objetivo principal es investigar sobre la </w:t>
      </w:r>
      <w:r w:rsidR="00A23009">
        <w:rPr>
          <w:rFonts w:ascii="Century" w:hAnsi="Century"/>
          <w:sz w:val="24"/>
          <w:szCs w:val="24"/>
        </w:rPr>
        <w:t xml:space="preserve">problemática que plantea la </w:t>
      </w:r>
      <w:r w:rsidR="00526226" w:rsidRPr="002C13F3">
        <w:rPr>
          <w:rFonts w:ascii="Century" w:hAnsi="Century"/>
          <w:sz w:val="24"/>
          <w:szCs w:val="24"/>
        </w:rPr>
        <w:t>co</w:t>
      </w:r>
      <w:r w:rsidR="005D63BA" w:rsidRPr="002C13F3">
        <w:rPr>
          <w:rFonts w:ascii="Century" w:hAnsi="Century"/>
          <w:sz w:val="24"/>
          <w:szCs w:val="24"/>
        </w:rPr>
        <w:t>mpetencia fiscal en materia sucesoria, tanto en el ámbito interno de nuestro territorio nacional</w:t>
      </w:r>
      <w:r w:rsidR="00A23009">
        <w:rPr>
          <w:rFonts w:ascii="Century" w:hAnsi="Century"/>
          <w:sz w:val="24"/>
          <w:szCs w:val="24"/>
        </w:rPr>
        <w:t xml:space="preserve"> como en el ámbito de la Unión Europea</w:t>
      </w:r>
      <w:r w:rsidR="004F74A9">
        <w:rPr>
          <w:rFonts w:ascii="Century" w:hAnsi="Century"/>
          <w:sz w:val="24"/>
          <w:szCs w:val="24"/>
        </w:rPr>
        <w:t xml:space="preserve"> (UE, en adelante)</w:t>
      </w:r>
      <w:r w:rsidR="00A23009">
        <w:rPr>
          <w:rFonts w:ascii="Century" w:hAnsi="Century"/>
          <w:sz w:val="24"/>
          <w:szCs w:val="24"/>
        </w:rPr>
        <w:t>. El término co</w:t>
      </w:r>
      <w:r w:rsidR="00BA1D6B">
        <w:rPr>
          <w:rFonts w:ascii="Century" w:hAnsi="Century"/>
          <w:sz w:val="24"/>
          <w:szCs w:val="24"/>
        </w:rPr>
        <w:t>mpetencia fiscal lo empleamos</w:t>
      </w:r>
      <w:r w:rsidR="00A23009">
        <w:rPr>
          <w:rFonts w:ascii="Century" w:hAnsi="Century"/>
          <w:sz w:val="24"/>
          <w:szCs w:val="24"/>
        </w:rPr>
        <w:t xml:space="preserve"> en nuestro trabajo en un doble sentido</w:t>
      </w:r>
      <w:r w:rsidR="00A23009" w:rsidRPr="004F74A9">
        <w:rPr>
          <w:rFonts w:cstheme="minorHAnsi"/>
          <w:sz w:val="24"/>
          <w:szCs w:val="24"/>
        </w:rPr>
        <w:t>:</w:t>
      </w:r>
      <w:r w:rsidR="00A23009">
        <w:rPr>
          <w:rFonts w:ascii="Century" w:hAnsi="Century"/>
          <w:sz w:val="24"/>
          <w:szCs w:val="24"/>
        </w:rPr>
        <w:t xml:space="preserve"> como término de delimitación del órgano con potestad o competencia para regular el impuesto</w:t>
      </w:r>
      <w:r w:rsidR="00A23009" w:rsidRPr="004F74A9">
        <w:rPr>
          <w:rFonts w:cstheme="minorHAnsi"/>
          <w:sz w:val="24"/>
          <w:szCs w:val="24"/>
        </w:rPr>
        <w:t>;</w:t>
      </w:r>
      <w:r w:rsidR="00A23009">
        <w:rPr>
          <w:rFonts w:ascii="Century" w:hAnsi="Century"/>
          <w:sz w:val="24"/>
          <w:szCs w:val="24"/>
        </w:rPr>
        <w:t xml:space="preserve"> y además, y como consecuencia de ello, como posible efecto pernicioso de esta potestad reguladora.</w:t>
      </w:r>
      <w:r w:rsidR="004F74A9">
        <w:rPr>
          <w:rFonts w:ascii="Century" w:hAnsi="Century"/>
          <w:sz w:val="24"/>
          <w:szCs w:val="24"/>
        </w:rPr>
        <w:t xml:space="preserve"> </w:t>
      </w:r>
    </w:p>
    <w:p w:rsidR="002A3394" w:rsidRPr="002C13F3" w:rsidRDefault="002A3394" w:rsidP="002D11BC">
      <w:pPr>
        <w:spacing w:after="240" w:line="360" w:lineRule="auto"/>
        <w:jc w:val="both"/>
        <w:rPr>
          <w:rFonts w:ascii="Century" w:hAnsi="Century"/>
          <w:sz w:val="24"/>
          <w:szCs w:val="24"/>
        </w:rPr>
      </w:pPr>
      <w:r w:rsidRPr="002C13F3">
        <w:rPr>
          <w:rFonts w:ascii="Century" w:hAnsi="Century"/>
          <w:sz w:val="24"/>
          <w:szCs w:val="24"/>
        </w:rPr>
        <w:tab/>
        <w:t xml:space="preserve">Para desarrollar </w:t>
      </w:r>
      <w:r w:rsidR="004F74A9">
        <w:rPr>
          <w:rFonts w:ascii="Century" w:hAnsi="Century"/>
          <w:sz w:val="24"/>
          <w:szCs w:val="24"/>
        </w:rPr>
        <w:t>el trabajo</w:t>
      </w:r>
      <w:r w:rsidRPr="002C13F3">
        <w:rPr>
          <w:rFonts w:ascii="Century" w:hAnsi="Century"/>
          <w:sz w:val="24"/>
          <w:szCs w:val="24"/>
        </w:rPr>
        <w:t xml:space="preserve"> nos hemos basado en </w:t>
      </w:r>
      <w:r w:rsidR="004F74A9">
        <w:rPr>
          <w:rFonts w:ascii="Century" w:hAnsi="Century"/>
          <w:sz w:val="24"/>
          <w:szCs w:val="24"/>
        </w:rPr>
        <w:t xml:space="preserve">el análisis de artículos doctrinales y en la revisión de </w:t>
      </w:r>
      <w:r w:rsidRPr="002C13F3">
        <w:rPr>
          <w:rFonts w:ascii="Century" w:hAnsi="Century"/>
          <w:sz w:val="24"/>
          <w:szCs w:val="24"/>
        </w:rPr>
        <w:t xml:space="preserve">la jurisprudencia actual, tanto dentro de nuestro territorio nacional como en el ámbito de la </w:t>
      </w:r>
      <w:r w:rsidR="001844F0" w:rsidRPr="002C13F3">
        <w:rPr>
          <w:rFonts w:ascii="Century" w:hAnsi="Century"/>
          <w:sz w:val="24"/>
          <w:szCs w:val="24"/>
        </w:rPr>
        <w:t>UE</w:t>
      </w:r>
      <w:r w:rsidRPr="002C13F3">
        <w:rPr>
          <w:rFonts w:ascii="Century" w:hAnsi="Century"/>
          <w:sz w:val="24"/>
          <w:szCs w:val="24"/>
        </w:rPr>
        <w:t xml:space="preserve">. </w:t>
      </w:r>
      <w:r w:rsidR="004F74A9">
        <w:rPr>
          <w:rFonts w:ascii="Century" w:hAnsi="Century"/>
          <w:sz w:val="24"/>
          <w:szCs w:val="24"/>
        </w:rPr>
        <w:t>H</w:t>
      </w:r>
      <w:r w:rsidRPr="002C13F3">
        <w:rPr>
          <w:rFonts w:ascii="Century" w:hAnsi="Century"/>
          <w:sz w:val="24"/>
          <w:szCs w:val="24"/>
        </w:rPr>
        <w:t>emos</w:t>
      </w:r>
      <w:r w:rsidR="004F74A9">
        <w:rPr>
          <w:rFonts w:ascii="Century" w:hAnsi="Century"/>
          <w:sz w:val="24"/>
          <w:szCs w:val="24"/>
        </w:rPr>
        <w:t xml:space="preserve"> efectuado, así mismo, la revisión de la</w:t>
      </w:r>
      <w:r w:rsidRPr="002C13F3">
        <w:rPr>
          <w:rFonts w:ascii="Century" w:hAnsi="Century"/>
          <w:sz w:val="24"/>
          <w:szCs w:val="24"/>
        </w:rPr>
        <w:t xml:space="preserve"> normativa</w:t>
      </w:r>
      <w:r w:rsidR="004F74A9">
        <w:rPr>
          <w:rFonts w:ascii="Century" w:hAnsi="Century"/>
          <w:sz w:val="24"/>
          <w:szCs w:val="24"/>
        </w:rPr>
        <w:t xml:space="preserve"> </w:t>
      </w:r>
      <w:r w:rsidRPr="002C13F3">
        <w:rPr>
          <w:rFonts w:ascii="Century" w:hAnsi="Century"/>
          <w:sz w:val="24"/>
          <w:szCs w:val="24"/>
        </w:rPr>
        <w:t>estatal del impuesto</w:t>
      </w:r>
      <w:r w:rsidR="004F74A9">
        <w:rPr>
          <w:rFonts w:ascii="Century" w:hAnsi="Century"/>
          <w:sz w:val="24"/>
          <w:szCs w:val="24"/>
        </w:rPr>
        <w:t>, así</w:t>
      </w:r>
      <w:r w:rsidRPr="002C13F3">
        <w:rPr>
          <w:rFonts w:ascii="Century" w:hAnsi="Century"/>
          <w:sz w:val="24"/>
          <w:szCs w:val="24"/>
        </w:rPr>
        <w:t xml:space="preserve"> como</w:t>
      </w:r>
      <w:r w:rsidR="004F74A9">
        <w:rPr>
          <w:rFonts w:ascii="Century" w:hAnsi="Century"/>
          <w:sz w:val="24"/>
          <w:szCs w:val="24"/>
        </w:rPr>
        <w:t xml:space="preserve"> de</w:t>
      </w:r>
      <w:r w:rsidRPr="002C13F3">
        <w:rPr>
          <w:rFonts w:ascii="Century" w:hAnsi="Century"/>
          <w:sz w:val="24"/>
          <w:szCs w:val="24"/>
        </w:rPr>
        <w:t xml:space="preserve"> las diferentes normativas autonómicas</w:t>
      </w:r>
      <w:r w:rsidR="004F74A9">
        <w:rPr>
          <w:rFonts w:ascii="Century" w:hAnsi="Century"/>
          <w:sz w:val="24"/>
          <w:szCs w:val="24"/>
        </w:rPr>
        <w:t>.</w:t>
      </w:r>
    </w:p>
    <w:p w:rsidR="005A723D" w:rsidRPr="002C13F3" w:rsidRDefault="00526226" w:rsidP="002D11BC">
      <w:pPr>
        <w:spacing w:after="240" w:line="360" w:lineRule="auto"/>
        <w:jc w:val="both"/>
        <w:rPr>
          <w:rFonts w:ascii="Century" w:hAnsi="Century"/>
          <w:sz w:val="24"/>
          <w:szCs w:val="24"/>
        </w:rPr>
      </w:pPr>
      <w:r w:rsidRPr="002C13F3">
        <w:rPr>
          <w:rFonts w:ascii="Century" w:hAnsi="Century"/>
          <w:sz w:val="24"/>
          <w:szCs w:val="24"/>
        </w:rPr>
        <w:tab/>
      </w:r>
      <w:r w:rsidR="004F74A9">
        <w:rPr>
          <w:rFonts w:ascii="Century" w:hAnsi="Century"/>
          <w:sz w:val="24"/>
          <w:szCs w:val="24"/>
        </w:rPr>
        <w:t>Para</w:t>
      </w:r>
      <w:r w:rsidRPr="002C13F3">
        <w:rPr>
          <w:rFonts w:ascii="Century" w:hAnsi="Century"/>
          <w:sz w:val="24"/>
          <w:szCs w:val="24"/>
        </w:rPr>
        <w:t xml:space="preserve"> conocer de manera más profunda la tributación del </w:t>
      </w:r>
      <w:r w:rsidR="001D551E" w:rsidRPr="002C13F3">
        <w:rPr>
          <w:rFonts w:ascii="Century" w:hAnsi="Century"/>
          <w:sz w:val="24"/>
          <w:szCs w:val="24"/>
        </w:rPr>
        <w:t>impuesto</w:t>
      </w:r>
      <w:r w:rsidRPr="002C13F3">
        <w:rPr>
          <w:rFonts w:ascii="Century" w:hAnsi="Century"/>
          <w:sz w:val="24"/>
          <w:szCs w:val="24"/>
        </w:rPr>
        <w:t xml:space="preserve"> en nuestro territorio nacional y en cada una de las </w:t>
      </w:r>
      <w:r w:rsidR="004F74A9">
        <w:rPr>
          <w:rFonts w:ascii="Century" w:hAnsi="Century"/>
          <w:sz w:val="24"/>
          <w:szCs w:val="24"/>
        </w:rPr>
        <w:t>Comunidades Autónomas (</w:t>
      </w:r>
      <w:r w:rsidR="00FF7BBF" w:rsidRPr="002C13F3">
        <w:rPr>
          <w:rFonts w:ascii="Century" w:hAnsi="Century"/>
          <w:sz w:val="24"/>
          <w:szCs w:val="24"/>
        </w:rPr>
        <w:t>CCAA</w:t>
      </w:r>
      <w:r w:rsidR="004F74A9">
        <w:rPr>
          <w:rFonts w:ascii="Century" w:hAnsi="Century"/>
          <w:sz w:val="24"/>
          <w:szCs w:val="24"/>
        </w:rPr>
        <w:t>)</w:t>
      </w:r>
      <w:r w:rsidRPr="002C13F3">
        <w:rPr>
          <w:rFonts w:ascii="Century" w:hAnsi="Century"/>
          <w:sz w:val="24"/>
          <w:szCs w:val="24"/>
        </w:rPr>
        <w:t xml:space="preserve">, así como en el ámbito de la </w:t>
      </w:r>
      <w:r w:rsidR="00FF7BBF" w:rsidRPr="002C13F3">
        <w:rPr>
          <w:rFonts w:ascii="Century" w:hAnsi="Century"/>
          <w:sz w:val="24"/>
          <w:szCs w:val="24"/>
        </w:rPr>
        <w:t>UE</w:t>
      </w:r>
      <w:r w:rsidR="004F74A9">
        <w:rPr>
          <w:rFonts w:ascii="Century" w:hAnsi="Century"/>
          <w:sz w:val="24"/>
          <w:szCs w:val="24"/>
        </w:rPr>
        <w:t>,</w:t>
      </w:r>
      <w:r w:rsidRPr="002C13F3">
        <w:rPr>
          <w:rFonts w:ascii="Century" w:hAnsi="Century"/>
          <w:sz w:val="24"/>
          <w:szCs w:val="24"/>
        </w:rPr>
        <w:t xml:space="preserve"> hemos llevado a cabo un estudio comparativo del impuesto entre los</w:t>
      </w:r>
      <w:r w:rsidR="009A090A">
        <w:rPr>
          <w:rFonts w:ascii="Century" w:hAnsi="Century"/>
          <w:sz w:val="24"/>
          <w:szCs w:val="24"/>
        </w:rPr>
        <w:t xml:space="preserve"> Estados M</w:t>
      </w:r>
      <w:r w:rsidR="004F74A9">
        <w:rPr>
          <w:rFonts w:ascii="Century" w:hAnsi="Century"/>
          <w:sz w:val="24"/>
          <w:szCs w:val="24"/>
        </w:rPr>
        <w:t>iembros</w:t>
      </w:r>
      <w:r w:rsidRPr="002C13F3">
        <w:rPr>
          <w:rFonts w:ascii="Century" w:hAnsi="Century"/>
          <w:sz w:val="24"/>
          <w:szCs w:val="24"/>
        </w:rPr>
        <w:t xml:space="preserve"> </w:t>
      </w:r>
      <w:r w:rsidR="004F74A9">
        <w:rPr>
          <w:rFonts w:ascii="Century" w:hAnsi="Century"/>
          <w:sz w:val="24"/>
          <w:szCs w:val="24"/>
        </w:rPr>
        <w:t>(</w:t>
      </w:r>
      <w:r w:rsidR="00FF7BBF" w:rsidRPr="002C13F3">
        <w:rPr>
          <w:rFonts w:ascii="Century" w:hAnsi="Century"/>
          <w:sz w:val="24"/>
          <w:szCs w:val="24"/>
        </w:rPr>
        <w:t>EM</w:t>
      </w:r>
      <w:r w:rsidR="004F74A9">
        <w:rPr>
          <w:rFonts w:ascii="Century" w:hAnsi="Century"/>
          <w:sz w:val="24"/>
          <w:szCs w:val="24"/>
        </w:rPr>
        <w:t>, en adelante)</w:t>
      </w:r>
      <w:r w:rsidR="00FF7BBF" w:rsidRPr="002C13F3">
        <w:rPr>
          <w:rFonts w:ascii="Century" w:hAnsi="Century"/>
          <w:sz w:val="24"/>
          <w:szCs w:val="24"/>
        </w:rPr>
        <w:t xml:space="preserve"> de la U</w:t>
      </w:r>
      <w:r w:rsidRPr="002C13F3">
        <w:rPr>
          <w:rFonts w:ascii="Century" w:hAnsi="Century"/>
          <w:sz w:val="24"/>
          <w:szCs w:val="24"/>
        </w:rPr>
        <w:t>E</w:t>
      </w:r>
      <w:r w:rsidR="004F74A9">
        <w:rPr>
          <w:rFonts w:ascii="Century" w:hAnsi="Century"/>
          <w:sz w:val="24"/>
          <w:szCs w:val="24"/>
        </w:rPr>
        <w:t>,</w:t>
      </w:r>
      <w:r w:rsidR="000A3DC5" w:rsidRPr="002C13F3">
        <w:rPr>
          <w:rFonts w:ascii="Century" w:hAnsi="Century"/>
          <w:sz w:val="24"/>
          <w:szCs w:val="24"/>
        </w:rPr>
        <w:t xml:space="preserve"> y otro entre C</w:t>
      </w:r>
      <w:r w:rsidR="00FF7BBF" w:rsidRPr="002C13F3">
        <w:rPr>
          <w:rFonts w:ascii="Century" w:hAnsi="Century"/>
          <w:sz w:val="24"/>
          <w:szCs w:val="24"/>
        </w:rPr>
        <w:t>CAA</w:t>
      </w:r>
      <w:r w:rsidRPr="002C13F3">
        <w:rPr>
          <w:rFonts w:ascii="Century" w:hAnsi="Century"/>
          <w:sz w:val="24"/>
          <w:szCs w:val="24"/>
        </w:rPr>
        <w:t>, teniendo en cuenta los problemas derivados del mismo, junto con otros aspectos importantes que se desarrollarán a lo largo del trabajo.</w:t>
      </w:r>
      <w:r w:rsidR="00D37BA6">
        <w:rPr>
          <w:rFonts w:ascii="Century" w:hAnsi="Century"/>
          <w:sz w:val="24"/>
          <w:szCs w:val="24"/>
        </w:rPr>
        <w:t xml:space="preserve"> </w:t>
      </w:r>
      <w:r w:rsidR="005A723D" w:rsidRPr="002C13F3">
        <w:rPr>
          <w:rFonts w:ascii="Century" w:hAnsi="Century"/>
          <w:sz w:val="24"/>
          <w:szCs w:val="24"/>
        </w:rPr>
        <w:t>En resumen, la finalidad de este estudio es comprender mejor el impuesto y observar las diferencias existentes entre las distintas C</w:t>
      </w:r>
      <w:r w:rsidR="00FF7BBF" w:rsidRPr="002C13F3">
        <w:rPr>
          <w:rFonts w:ascii="Century" w:hAnsi="Century"/>
          <w:sz w:val="24"/>
          <w:szCs w:val="24"/>
        </w:rPr>
        <w:t xml:space="preserve">CAA </w:t>
      </w:r>
      <w:r w:rsidR="005A723D" w:rsidRPr="002C13F3">
        <w:rPr>
          <w:rFonts w:ascii="Century" w:hAnsi="Century"/>
          <w:sz w:val="24"/>
          <w:szCs w:val="24"/>
        </w:rPr>
        <w:t>de nuestro territorio nacional y ent</w:t>
      </w:r>
      <w:r w:rsidR="00FF7BBF" w:rsidRPr="002C13F3">
        <w:rPr>
          <w:rFonts w:ascii="Century" w:hAnsi="Century"/>
          <w:sz w:val="24"/>
          <w:szCs w:val="24"/>
        </w:rPr>
        <w:t>re los Estados de la U</w:t>
      </w:r>
      <w:r w:rsidR="00FD3E72" w:rsidRPr="002C13F3">
        <w:rPr>
          <w:rFonts w:ascii="Century" w:hAnsi="Century"/>
          <w:sz w:val="24"/>
          <w:szCs w:val="24"/>
        </w:rPr>
        <w:t>E con respecto a la competencia fiscal en materia sucesoria.</w:t>
      </w:r>
    </w:p>
    <w:p w:rsidR="000A69A1" w:rsidRDefault="005A723D" w:rsidP="002D11BC">
      <w:pPr>
        <w:spacing w:after="240" w:line="360" w:lineRule="auto"/>
        <w:jc w:val="both"/>
        <w:rPr>
          <w:rFonts w:ascii="Century" w:hAnsi="Century"/>
          <w:sz w:val="24"/>
          <w:szCs w:val="24"/>
        </w:rPr>
      </w:pPr>
      <w:r w:rsidRPr="002C13F3">
        <w:rPr>
          <w:rFonts w:ascii="Century" w:hAnsi="Century"/>
          <w:sz w:val="24"/>
          <w:szCs w:val="24"/>
        </w:rPr>
        <w:tab/>
        <w:t xml:space="preserve">Con el propósito de abordar los objetivos de nuestro trabajo hemos estructurado el </w:t>
      </w:r>
      <w:r w:rsidR="00D37BA6">
        <w:rPr>
          <w:rFonts w:ascii="Century" w:hAnsi="Century"/>
          <w:sz w:val="24"/>
          <w:szCs w:val="24"/>
        </w:rPr>
        <w:t xml:space="preserve">contenido del </w:t>
      </w:r>
      <w:r w:rsidRPr="002C13F3">
        <w:rPr>
          <w:rFonts w:ascii="Century" w:hAnsi="Century"/>
          <w:sz w:val="24"/>
          <w:szCs w:val="24"/>
        </w:rPr>
        <w:t xml:space="preserve">mismo en </w:t>
      </w:r>
      <w:r w:rsidR="00D37BA6">
        <w:rPr>
          <w:rFonts w:ascii="Century" w:hAnsi="Century"/>
          <w:sz w:val="24"/>
          <w:szCs w:val="24"/>
        </w:rPr>
        <w:t xml:space="preserve">seis </w:t>
      </w:r>
      <w:r w:rsidR="004F74A9">
        <w:rPr>
          <w:rFonts w:ascii="Century" w:hAnsi="Century"/>
          <w:sz w:val="24"/>
          <w:szCs w:val="24"/>
        </w:rPr>
        <w:t>apartados</w:t>
      </w:r>
      <w:r w:rsidRPr="002C13F3">
        <w:rPr>
          <w:rFonts w:ascii="Century" w:hAnsi="Century"/>
          <w:sz w:val="24"/>
          <w:szCs w:val="24"/>
        </w:rPr>
        <w:t xml:space="preserve">. El primero de modo introductorio para explicar </w:t>
      </w:r>
      <w:r w:rsidR="00ED4569">
        <w:rPr>
          <w:rFonts w:ascii="Century" w:hAnsi="Century"/>
          <w:sz w:val="24"/>
          <w:szCs w:val="24"/>
        </w:rPr>
        <w:t xml:space="preserve">brevemente </w:t>
      </w:r>
      <w:r w:rsidRPr="002C13F3">
        <w:rPr>
          <w:rFonts w:ascii="Century" w:hAnsi="Century"/>
          <w:sz w:val="24"/>
          <w:szCs w:val="24"/>
        </w:rPr>
        <w:t>el desarrollo de este trabajo. El segundo se basa en</w:t>
      </w:r>
      <w:r w:rsidR="004F74A9">
        <w:rPr>
          <w:rFonts w:ascii="Century" w:hAnsi="Century"/>
          <w:sz w:val="24"/>
          <w:szCs w:val="24"/>
        </w:rPr>
        <w:t xml:space="preserve"> el análisis</w:t>
      </w:r>
      <w:r w:rsidRPr="002C13F3">
        <w:rPr>
          <w:rFonts w:ascii="Century" w:hAnsi="Century"/>
          <w:sz w:val="24"/>
          <w:szCs w:val="24"/>
        </w:rPr>
        <w:t xml:space="preserve"> </w:t>
      </w:r>
      <w:r w:rsidR="004F74A9">
        <w:rPr>
          <w:rFonts w:ascii="Century" w:hAnsi="Century"/>
          <w:sz w:val="24"/>
          <w:szCs w:val="24"/>
        </w:rPr>
        <w:t xml:space="preserve">de </w:t>
      </w:r>
      <w:r w:rsidRPr="002C13F3">
        <w:rPr>
          <w:rFonts w:ascii="Century" w:hAnsi="Century"/>
          <w:sz w:val="24"/>
          <w:szCs w:val="24"/>
        </w:rPr>
        <w:t>la regulación fiscal</w:t>
      </w:r>
      <w:r w:rsidR="00BD3A92" w:rsidRPr="002C13F3">
        <w:rPr>
          <w:rFonts w:ascii="Century" w:hAnsi="Century"/>
          <w:sz w:val="24"/>
          <w:szCs w:val="24"/>
        </w:rPr>
        <w:t xml:space="preserve"> en el ámbito de la UE, </w:t>
      </w:r>
      <w:r w:rsidR="00BD3A92" w:rsidRPr="002C13F3">
        <w:rPr>
          <w:rFonts w:ascii="Century" w:hAnsi="Century"/>
          <w:sz w:val="24"/>
          <w:szCs w:val="24"/>
        </w:rPr>
        <w:lastRenderedPageBreak/>
        <w:t>el análisis de forma breve e individual del impuesto en cada uno de los EM</w:t>
      </w:r>
      <w:r w:rsidRPr="002C13F3">
        <w:rPr>
          <w:rFonts w:ascii="Century" w:hAnsi="Century"/>
          <w:sz w:val="24"/>
          <w:szCs w:val="24"/>
        </w:rPr>
        <w:t>, así como las consecuencias</w:t>
      </w:r>
      <w:r w:rsidR="004F74A9">
        <w:rPr>
          <w:rFonts w:ascii="Century" w:hAnsi="Century"/>
          <w:sz w:val="24"/>
          <w:szCs w:val="24"/>
        </w:rPr>
        <w:t xml:space="preserve"> de las diferentes regulaciones</w:t>
      </w:r>
      <w:r w:rsidRPr="002C13F3">
        <w:rPr>
          <w:rFonts w:ascii="Century" w:hAnsi="Century"/>
          <w:sz w:val="24"/>
          <w:szCs w:val="24"/>
        </w:rPr>
        <w:t xml:space="preserve"> del mismo. </w:t>
      </w:r>
      <w:r w:rsidR="00D37BA6">
        <w:rPr>
          <w:rFonts w:ascii="Century" w:hAnsi="Century"/>
          <w:sz w:val="24"/>
          <w:szCs w:val="24"/>
        </w:rPr>
        <w:t>E</w:t>
      </w:r>
      <w:r w:rsidRPr="002C13F3">
        <w:rPr>
          <w:rFonts w:ascii="Century" w:hAnsi="Century"/>
          <w:sz w:val="24"/>
          <w:szCs w:val="24"/>
        </w:rPr>
        <w:t>l tercero</w:t>
      </w:r>
      <w:r w:rsidR="004F74A9">
        <w:rPr>
          <w:rFonts w:ascii="Century" w:hAnsi="Century"/>
          <w:sz w:val="24"/>
          <w:szCs w:val="24"/>
        </w:rPr>
        <w:t xml:space="preserve"> analiza a</w:t>
      </w:r>
      <w:r w:rsidRPr="002C13F3">
        <w:rPr>
          <w:rFonts w:ascii="Century" w:hAnsi="Century"/>
          <w:sz w:val="24"/>
          <w:szCs w:val="24"/>
        </w:rPr>
        <w:t>l imp</w:t>
      </w:r>
      <w:r w:rsidR="004F74A9">
        <w:rPr>
          <w:rFonts w:ascii="Century" w:hAnsi="Century"/>
          <w:sz w:val="24"/>
          <w:szCs w:val="24"/>
        </w:rPr>
        <w:t>uesto como cedido a las CCAA, el</w:t>
      </w:r>
      <w:r w:rsidRPr="002C13F3">
        <w:rPr>
          <w:rFonts w:ascii="Century" w:hAnsi="Century"/>
          <w:sz w:val="24"/>
          <w:szCs w:val="24"/>
        </w:rPr>
        <w:t xml:space="preserve"> </w:t>
      </w:r>
      <w:r w:rsidR="00BD3A92" w:rsidRPr="002C13F3">
        <w:rPr>
          <w:rFonts w:ascii="Century" w:hAnsi="Century"/>
          <w:sz w:val="24"/>
          <w:szCs w:val="24"/>
        </w:rPr>
        <w:t>desarrollo</w:t>
      </w:r>
      <w:r w:rsidR="004F74A9">
        <w:rPr>
          <w:rFonts w:ascii="Century" w:hAnsi="Century"/>
          <w:sz w:val="24"/>
          <w:szCs w:val="24"/>
        </w:rPr>
        <w:t xml:space="preserve"> normativo en cada caso</w:t>
      </w:r>
      <w:r w:rsidR="00BD3A92" w:rsidRPr="002C13F3">
        <w:rPr>
          <w:rFonts w:ascii="Century" w:hAnsi="Century"/>
          <w:sz w:val="24"/>
          <w:szCs w:val="24"/>
        </w:rPr>
        <w:t>,</w:t>
      </w:r>
      <w:r w:rsidR="00ED4569">
        <w:rPr>
          <w:rFonts w:ascii="Century" w:hAnsi="Century"/>
          <w:sz w:val="24"/>
          <w:szCs w:val="24"/>
        </w:rPr>
        <w:t xml:space="preserve"> </w:t>
      </w:r>
      <w:r w:rsidRPr="002C13F3">
        <w:rPr>
          <w:rFonts w:ascii="Century" w:hAnsi="Century"/>
          <w:sz w:val="24"/>
          <w:szCs w:val="24"/>
        </w:rPr>
        <w:t>lo</w:t>
      </w:r>
      <w:r w:rsidR="00E452A6">
        <w:rPr>
          <w:rFonts w:ascii="Century" w:hAnsi="Century"/>
          <w:sz w:val="24"/>
          <w:szCs w:val="24"/>
        </w:rPr>
        <w:t>s problemas derivados del mismo</w:t>
      </w:r>
      <w:r w:rsidR="00C50588">
        <w:rPr>
          <w:rFonts w:ascii="Century" w:hAnsi="Century"/>
          <w:sz w:val="24"/>
          <w:szCs w:val="24"/>
        </w:rPr>
        <w:t>,</w:t>
      </w:r>
      <w:r w:rsidR="00E452A6">
        <w:rPr>
          <w:rFonts w:ascii="Century" w:hAnsi="Century"/>
          <w:sz w:val="24"/>
          <w:szCs w:val="24"/>
        </w:rPr>
        <w:t xml:space="preserve"> y</w:t>
      </w:r>
      <w:r w:rsidRPr="002C13F3">
        <w:rPr>
          <w:rFonts w:ascii="Century" w:hAnsi="Century"/>
          <w:sz w:val="24"/>
          <w:szCs w:val="24"/>
        </w:rPr>
        <w:t xml:space="preserve"> </w:t>
      </w:r>
      <w:r w:rsidR="00E452A6">
        <w:rPr>
          <w:rFonts w:ascii="Century" w:hAnsi="Century"/>
          <w:sz w:val="24"/>
          <w:szCs w:val="24"/>
        </w:rPr>
        <w:t>las actuaciones llevadas a cabo por</w:t>
      </w:r>
      <w:r w:rsidR="006D01FF" w:rsidRPr="002C13F3">
        <w:rPr>
          <w:rFonts w:ascii="Century" w:hAnsi="Century"/>
          <w:sz w:val="24"/>
          <w:szCs w:val="24"/>
        </w:rPr>
        <w:t xml:space="preserve"> la Comisión Europea </w:t>
      </w:r>
      <w:r w:rsidR="00E452A6">
        <w:rPr>
          <w:rFonts w:ascii="Century" w:hAnsi="Century"/>
          <w:sz w:val="24"/>
          <w:szCs w:val="24"/>
        </w:rPr>
        <w:t>para limitar</w:t>
      </w:r>
      <w:r w:rsidR="006D01FF" w:rsidRPr="002C13F3">
        <w:rPr>
          <w:rFonts w:ascii="Century" w:hAnsi="Century"/>
          <w:sz w:val="24"/>
          <w:szCs w:val="24"/>
        </w:rPr>
        <w:t xml:space="preserve"> las distorsiones provocadas en materia de sucesiones</w:t>
      </w:r>
      <w:r w:rsidR="00E452A6">
        <w:rPr>
          <w:rFonts w:ascii="Century" w:hAnsi="Century"/>
          <w:sz w:val="24"/>
          <w:szCs w:val="24"/>
        </w:rPr>
        <w:t xml:space="preserve"> en nuestro país</w:t>
      </w:r>
      <w:r w:rsidR="006D01FF" w:rsidRPr="002C13F3">
        <w:rPr>
          <w:rFonts w:ascii="Century" w:hAnsi="Century"/>
          <w:sz w:val="24"/>
          <w:szCs w:val="24"/>
        </w:rPr>
        <w:t xml:space="preserve">, </w:t>
      </w:r>
      <w:r w:rsidR="00ED4569">
        <w:rPr>
          <w:rFonts w:ascii="Century" w:hAnsi="Century"/>
          <w:sz w:val="24"/>
          <w:szCs w:val="24"/>
        </w:rPr>
        <w:t xml:space="preserve">así como la situación actual del impuesto y </w:t>
      </w:r>
      <w:r w:rsidR="00E452A6">
        <w:rPr>
          <w:rFonts w:ascii="Century" w:hAnsi="Century"/>
          <w:sz w:val="24"/>
          <w:szCs w:val="24"/>
        </w:rPr>
        <w:t>las propuestas de reforma que</w:t>
      </w:r>
      <w:r w:rsidR="00ED4569">
        <w:rPr>
          <w:rFonts w:ascii="Century" w:hAnsi="Century"/>
          <w:sz w:val="24"/>
          <w:szCs w:val="24"/>
        </w:rPr>
        <w:t xml:space="preserve"> finalmente</w:t>
      </w:r>
      <w:r w:rsidR="00E452A6">
        <w:rPr>
          <w:rFonts w:ascii="Century" w:hAnsi="Century"/>
          <w:sz w:val="24"/>
          <w:szCs w:val="24"/>
        </w:rPr>
        <w:t xml:space="preserve"> se han planteado al respecto.</w:t>
      </w:r>
      <w:r w:rsidR="00C50588">
        <w:rPr>
          <w:rFonts w:ascii="Century" w:hAnsi="Century"/>
          <w:sz w:val="24"/>
          <w:szCs w:val="24"/>
        </w:rPr>
        <w:t xml:space="preserve"> Los tres apartados finales, recogen las conclusiones del trabajo, la correspondiente bibliografía empleada, así como un anexo de normativa y jurisprudencia, como fuentes empleadas en el mismo.</w:t>
      </w:r>
    </w:p>
    <w:p w:rsidR="000A69A1" w:rsidRDefault="000A69A1" w:rsidP="002D11BC">
      <w:pPr>
        <w:spacing w:after="240" w:line="360" w:lineRule="auto"/>
        <w:jc w:val="both"/>
        <w:rPr>
          <w:rFonts w:ascii="Century" w:hAnsi="Century"/>
          <w:sz w:val="24"/>
          <w:szCs w:val="24"/>
        </w:rPr>
      </w:pPr>
    </w:p>
    <w:p w:rsidR="00BA1D6B" w:rsidRDefault="00BA1D6B" w:rsidP="002D11BC">
      <w:pPr>
        <w:spacing w:after="240" w:line="360" w:lineRule="auto"/>
        <w:jc w:val="both"/>
        <w:rPr>
          <w:rFonts w:ascii="Century" w:hAnsi="Century"/>
          <w:sz w:val="24"/>
          <w:szCs w:val="24"/>
        </w:rPr>
      </w:pPr>
    </w:p>
    <w:p w:rsidR="00BA1D6B" w:rsidRDefault="00BA1D6B" w:rsidP="002D11BC">
      <w:pPr>
        <w:spacing w:after="240" w:line="360" w:lineRule="auto"/>
        <w:jc w:val="both"/>
        <w:rPr>
          <w:rFonts w:ascii="Century" w:hAnsi="Century"/>
          <w:sz w:val="24"/>
          <w:szCs w:val="24"/>
        </w:rPr>
      </w:pPr>
    </w:p>
    <w:p w:rsidR="00BA1D6B" w:rsidRDefault="00BA1D6B" w:rsidP="002D11BC">
      <w:pPr>
        <w:spacing w:after="240" w:line="360" w:lineRule="auto"/>
        <w:jc w:val="both"/>
        <w:rPr>
          <w:rFonts w:ascii="Century" w:hAnsi="Century"/>
          <w:sz w:val="24"/>
          <w:szCs w:val="24"/>
        </w:rPr>
      </w:pPr>
    </w:p>
    <w:p w:rsidR="00BA1D6B" w:rsidRDefault="00BA1D6B" w:rsidP="002D11BC">
      <w:pPr>
        <w:spacing w:after="240" w:line="360" w:lineRule="auto"/>
        <w:jc w:val="both"/>
        <w:rPr>
          <w:rFonts w:ascii="Century" w:hAnsi="Century"/>
          <w:sz w:val="24"/>
          <w:szCs w:val="24"/>
        </w:rPr>
      </w:pPr>
    </w:p>
    <w:p w:rsidR="00BA1D6B" w:rsidRDefault="00BA1D6B" w:rsidP="002D11BC">
      <w:pPr>
        <w:spacing w:after="240" w:line="360" w:lineRule="auto"/>
        <w:jc w:val="both"/>
        <w:rPr>
          <w:rFonts w:ascii="Century" w:hAnsi="Century"/>
          <w:sz w:val="24"/>
          <w:szCs w:val="24"/>
        </w:rPr>
      </w:pPr>
    </w:p>
    <w:p w:rsidR="00BA1D6B" w:rsidRDefault="00BA1D6B" w:rsidP="002D11BC">
      <w:pPr>
        <w:spacing w:after="240" w:line="360" w:lineRule="auto"/>
        <w:jc w:val="both"/>
        <w:rPr>
          <w:rFonts w:ascii="Century" w:hAnsi="Century"/>
          <w:sz w:val="24"/>
          <w:szCs w:val="24"/>
        </w:rPr>
      </w:pPr>
    </w:p>
    <w:p w:rsidR="00BA1D6B" w:rsidRDefault="00BA1D6B" w:rsidP="002D11BC">
      <w:pPr>
        <w:spacing w:after="240" w:line="360" w:lineRule="auto"/>
        <w:jc w:val="both"/>
        <w:rPr>
          <w:rFonts w:ascii="Century" w:hAnsi="Century"/>
          <w:sz w:val="24"/>
          <w:szCs w:val="24"/>
        </w:rPr>
      </w:pPr>
    </w:p>
    <w:p w:rsidR="00BA1D6B" w:rsidRDefault="00BA1D6B" w:rsidP="002D11BC">
      <w:pPr>
        <w:spacing w:after="240" w:line="360" w:lineRule="auto"/>
        <w:jc w:val="both"/>
        <w:rPr>
          <w:rFonts w:ascii="Century" w:hAnsi="Century"/>
          <w:sz w:val="24"/>
          <w:szCs w:val="24"/>
        </w:rPr>
      </w:pPr>
    </w:p>
    <w:p w:rsidR="00BA1D6B" w:rsidRDefault="00BA1D6B" w:rsidP="002D11BC">
      <w:pPr>
        <w:spacing w:after="240" w:line="360" w:lineRule="auto"/>
        <w:jc w:val="both"/>
        <w:rPr>
          <w:rFonts w:ascii="Century" w:hAnsi="Century"/>
          <w:sz w:val="24"/>
          <w:szCs w:val="24"/>
        </w:rPr>
      </w:pPr>
    </w:p>
    <w:p w:rsidR="00BA1D6B" w:rsidRDefault="00BA1D6B" w:rsidP="002D11BC">
      <w:pPr>
        <w:spacing w:after="240" w:line="360" w:lineRule="auto"/>
        <w:jc w:val="both"/>
        <w:rPr>
          <w:rFonts w:ascii="Century" w:hAnsi="Century"/>
          <w:sz w:val="24"/>
          <w:szCs w:val="24"/>
        </w:rPr>
      </w:pPr>
    </w:p>
    <w:p w:rsidR="00BA1D6B" w:rsidRDefault="00BA1D6B" w:rsidP="002D11BC">
      <w:pPr>
        <w:spacing w:after="240" w:line="360" w:lineRule="auto"/>
        <w:jc w:val="both"/>
        <w:rPr>
          <w:rFonts w:ascii="Century" w:hAnsi="Century"/>
          <w:sz w:val="24"/>
          <w:szCs w:val="24"/>
        </w:rPr>
      </w:pPr>
    </w:p>
    <w:p w:rsidR="00BA1D6B" w:rsidRDefault="00BA1D6B" w:rsidP="002D11BC">
      <w:pPr>
        <w:spacing w:after="240" w:line="360" w:lineRule="auto"/>
        <w:jc w:val="both"/>
        <w:rPr>
          <w:rFonts w:ascii="Century" w:hAnsi="Century"/>
          <w:sz w:val="24"/>
          <w:szCs w:val="24"/>
        </w:rPr>
      </w:pPr>
    </w:p>
    <w:p w:rsidR="00BA1D6B" w:rsidRDefault="00BA1D6B" w:rsidP="002D11BC">
      <w:pPr>
        <w:spacing w:after="240" w:line="360" w:lineRule="auto"/>
        <w:jc w:val="both"/>
        <w:rPr>
          <w:rFonts w:ascii="Century" w:hAnsi="Century"/>
          <w:sz w:val="24"/>
          <w:szCs w:val="24"/>
        </w:rPr>
      </w:pPr>
    </w:p>
    <w:p w:rsidR="000A69A1" w:rsidRPr="00ED4569" w:rsidRDefault="002371A0" w:rsidP="00586528">
      <w:pPr>
        <w:tabs>
          <w:tab w:val="left" w:pos="7230"/>
        </w:tabs>
        <w:spacing w:before="240" w:after="240" w:line="360" w:lineRule="auto"/>
        <w:jc w:val="both"/>
        <w:rPr>
          <w:rFonts w:ascii="Century" w:hAnsi="Century"/>
          <w:b/>
          <w:sz w:val="24"/>
          <w:szCs w:val="24"/>
        </w:rPr>
      </w:pPr>
      <w:r w:rsidRPr="002C13F3">
        <w:rPr>
          <w:rFonts w:ascii="Century" w:hAnsi="Century"/>
          <w:b/>
          <w:sz w:val="24"/>
          <w:szCs w:val="24"/>
        </w:rPr>
        <w:lastRenderedPageBreak/>
        <w:t>2</w:t>
      </w:r>
      <w:r w:rsidR="003126CE" w:rsidRPr="002C13F3">
        <w:rPr>
          <w:rFonts w:ascii="Century" w:hAnsi="Century"/>
          <w:b/>
          <w:sz w:val="24"/>
          <w:szCs w:val="24"/>
        </w:rPr>
        <w:t>. EL IMPUESTO SOBRE SUCESIONES EN LA UNIÓN EUROPEA</w:t>
      </w:r>
    </w:p>
    <w:p w:rsidR="00776090" w:rsidRPr="00776090" w:rsidRDefault="002371A0" w:rsidP="002D11BC">
      <w:pPr>
        <w:tabs>
          <w:tab w:val="left" w:pos="7230"/>
        </w:tabs>
        <w:spacing w:after="240" w:line="360" w:lineRule="auto"/>
        <w:ind w:left="284"/>
        <w:jc w:val="both"/>
        <w:rPr>
          <w:rFonts w:ascii="Century" w:hAnsi="Century"/>
          <w:b/>
          <w:sz w:val="24"/>
          <w:szCs w:val="24"/>
        </w:rPr>
      </w:pPr>
      <w:r w:rsidRPr="002C13F3">
        <w:rPr>
          <w:rFonts w:ascii="Century" w:hAnsi="Century"/>
          <w:b/>
          <w:sz w:val="24"/>
          <w:szCs w:val="24"/>
        </w:rPr>
        <w:t>2</w:t>
      </w:r>
      <w:r w:rsidR="003126CE" w:rsidRPr="002C13F3">
        <w:rPr>
          <w:rFonts w:ascii="Century" w:hAnsi="Century"/>
          <w:b/>
          <w:sz w:val="24"/>
          <w:szCs w:val="24"/>
        </w:rPr>
        <w:t xml:space="preserve">.1. La regulación fiscal en el ámbito </w:t>
      </w:r>
      <w:r w:rsidR="00776090">
        <w:rPr>
          <w:rFonts w:ascii="Century" w:hAnsi="Century"/>
          <w:b/>
          <w:sz w:val="24"/>
          <w:szCs w:val="24"/>
        </w:rPr>
        <w:t>de la Unión Europea</w:t>
      </w:r>
      <w:r w:rsidR="003126CE" w:rsidRPr="00514069">
        <w:rPr>
          <w:rFonts w:cstheme="minorHAnsi"/>
          <w:b/>
          <w:sz w:val="24"/>
          <w:szCs w:val="24"/>
        </w:rPr>
        <w:t>:</w:t>
      </w:r>
      <w:r w:rsidR="003126CE" w:rsidRPr="002C13F3">
        <w:rPr>
          <w:rFonts w:ascii="Century" w:hAnsi="Century"/>
          <w:b/>
          <w:sz w:val="24"/>
          <w:szCs w:val="24"/>
        </w:rPr>
        <w:t xml:space="preserve"> armonización versus coordinación.</w:t>
      </w:r>
    </w:p>
    <w:p w:rsidR="003126CE" w:rsidRPr="002C13F3" w:rsidRDefault="002225E8" w:rsidP="002D11BC">
      <w:pPr>
        <w:pStyle w:val="NormalWeb"/>
        <w:spacing w:before="0" w:beforeAutospacing="0" w:after="240" w:afterAutospacing="0" w:line="360" w:lineRule="auto"/>
        <w:jc w:val="both"/>
        <w:rPr>
          <w:rFonts w:ascii="Century" w:hAnsi="Century"/>
        </w:rPr>
      </w:pPr>
      <w:r w:rsidRPr="002C13F3">
        <w:rPr>
          <w:rFonts w:ascii="Century" w:hAnsi="Century"/>
        </w:rPr>
        <w:tab/>
        <w:t>Desde hace años</w:t>
      </w:r>
      <w:r w:rsidR="003126CE" w:rsidRPr="002C13F3">
        <w:rPr>
          <w:rFonts w:ascii="Century" w:hAnsi="Century"/>
        </w:rPr>
        <w:t xml:space="preserve"> la </w:t>
      </w:r>
      <w:r w:rsidR="00B861B2" w:rsidRPr="002C13F3">
        <w:rPr>
          <w:rFonts w:ascii="Century" w:hAnsi="Century"/>
        </w:rPr>
        <w:t xml:space="preserve">UE </w:t>
      </w:r>
      <w:r w:rsidR="003126CE" w:rsidRPr="002C13F3">
        <w:rPr>
          <w:rFonts w:ascii="Century" w:hAnsi="Century"/>
        </w:rPr>
        <w:t xml:space="preserve">ha deseado alcanzar un proceso de integración económica entre los </w:t>
      </w:r>
      <w:r w:rsidRPr="002C13F3">
        <w:rPr>
          <w:rFonts w:ascii="Century" w:hAnsi="Century"/>
        </w:rPr>
        <w:t>distintos EM,</w:t>
      </w:r>
      <w:r w:rsidR="003126CE" w:rsidRPr="002C13F3">
        <w:rPr>
          <w:rFonts w:ascii="Century" w:hAnsi="Century"/>
        </w:rPr>
        <w:t xml:space="preserve"> que consiste en que las economías nacionales queden integradas y que los Estados puedan beneficiarse de la eliminación progresiva de barreras al c</w:t>
      </w:r>
      <w:r w:rsidRPr="002C13F3">
        <w:rPr>
          <w:rFonts w:ascii="Century" w:hAnsi="Century"/>
        </w:rPr>
        <w:t>omercio. En su momento,</w:t>
      </w:r>
      <w:r w:rsidR="003126CE" w:rsidRPr="002C13F3">
        <w:rPr>
          <w:rFonts w:ascii="Century" w:hAnsi="Century"/>
        </w:rPr>
        <w:t xml:space="preserve"> el Acta Única Europea</w:t>
      </w:r>
      <w:r w:rsidRPr="002C13F3">
        <w:rPr>
          <w:rFonts w:ascii="Century" w:hAnsi="Century"/>
        </w:rPr>
        <w:t xml:space="preserve"> tuvo como</w:t>
      </w:r>
      <w:r w:rsidR="003126CE" w:rsidRPr="002C13F3">
        <w:rPr>
          <w:rFonts w:ascii="Century" w:hAnsi="Century"/>
        </w:rPr>
        <w:t xml:space="preserve"> objetivo</w:t>
      </w:r>
      <w:r w:rsidRPr="002C13F3">
        <w:rPr>
          <w:rFonts w:ascii="Century" w:hAnsi="Century"/>
        </w:rPr>
        <w:t xml:space="preserve"> el</w:t>
      </w:r>
      <w:r w:rsidR="003126CE" w:rsidRPr="002C13F3">
        <w:rPr>
          <w:rFonts w:ascii="Century" w:hAnsi="Century"/>
        </w:rPr>
        <w:t xml:space="preserve"> de reactivar el proceso de construcción europea con el fin de completar la realización del mercado interior, definido</w:t>
      </w:r>
      <w:r w:rsidRPr="002C13F3">
        <w:rPr>
          <w:rFonts w:ascii="Century" w:hAnsi="Century"/>
        </w:rPr>
        <w:t xml:space="preserve"> éste</w:t>
      </w:r>
      <w:r w:rsidR="003126CE" w:rsidRPr="002C13F3">
        <w:rPr>
          <w:rFonts w:ascii="Century" w:hAnsi="Century"/>
        </w:rPr>
        <w:t xml:space="preserve"> como “un espacio sin fronteras interiores en el que la libre circulación de mercancías, personas, servicios y capitales estará garantizada de acuerdo con las disposiciones del presente Tratado”</w:t>
      </w:r>
      <w:r w:rsidR="003126CE" w:rsidRPr="002C13F3">
        <w:rPr>
          <w:rStyle w:val="Refdenotaalpie"/>
          <w:rFonts w:ascii="Century" w:eastAsiaTheme="minorHAnsi" w:hAnsi="Century"/>
        </w:rPr>
        <w:footnoteReference w:id="1"/>
      </w:r>
      <w:r w:rsidR="003126CE" w:rsidRPr="002C13F3">
        <w:rPr>
          <w:rFonts w:ascii="Century" w:hAnsi="Century"/>
        </w:rPr>
        <w:t>.</w:t>
      </w:r>
    </w:p>
    <w:p w:rsidR="003126CE" w:rsidRPr="002C13F3" w:rsidRDefault="00293FA9" w:rsidP="00293FA9">
      <w:pPr>
        <w:tabs>
          <w:tab w:val="left" w:pos="0"/>
        </w:tabs>
        <w:spacing w:after="240" w:line="360" w:lineRule="auto"/>
        <w:jc w:val="both"/>
        <w:rPr>
          <w:rFonts w:ascii="Century" w:hAnsi="Century"/>
          <w:sz w:val="24"/>
          <w:szCs w:val="24"/>
        </w:rPr>
      </w:pPr>
      <w:r>
        <w:rPr>
          <w:rFonts w:ascii="Century" w:hAnsi="Century"/>
          <w:sz w:val="24"/>
          <w:szCs w:val="24"/>
        </w:rPr>
        <w:tab/>
      </w:r>
      <w:r w:rsidR="003126CE" w:rsidRPr="002C13F3">
        <w:rPr>
          <w:rFonts w:ascii="Century" w:hAnsi="Century"/>
          <w:sz w:val="24"/>
          <w:szCs w:val="24"/>
        </w:rPr>
        <w:t>El deseable proceso de integración económica de la UE se basa en una creciente interrelación y cooperación entre las economías nacionales que</w:t>
      </w:r>
      <w:r w:rsidR="002225E8" w:rsidRPr="002C13F3">
        <w:rPr>
          <w:rFonts w:ascii="Century" w:hAnsi="Century"/>
          <w:sz w:val="24"/>
          <w:szCs w:val="24"/>
        </w:rPr>
        <w:t xml:space="preserve"> ha de llegar a</w:t>
      </w:r>
      <w:r w:rsidR="003126CE" w:rsidRPr="002C13F3">
        <w:rPr>
          <w:rFonts w:ascii="Century" w:hAnsi="Century"/>
          <w:sz w:val="24"/>
          <w:szCs w:val="24"/>
        </w:rPr>
        <w:t xml:space="preserve"> una unión fiscal</w:t>
      </w:r>
      <w:r w:rsidR="002225E8" w:rsidRPr="002C13F3">
        <w:rPr>
          <w:rFonts w:ascii="Century" w:hAnsi="Century"/>
          <w:sz w:val="24"/>
          <w:szCs w:val="24"/>
        </w:rPr>
        <w:t>, debiendo superar l</w:t>
      </w:r>
      <w:r w:rsidR="003126CE" w:rsidRPr="002C13F3">
        <w:rPr>
          <w:rFonts w:ascii="Century" w:hAnsi="Century"/>
          <w:sz w:val="24"/>
          <w:szCs w:val="24"/>
        </w:rPr>
        <w:t>a gran diversidad de normas que dificultan la integración real y la consecución de un mercado único. Este proceso debe ir acompañado de unas normas sobre armonización y coordinación fiscal entre los Estados involucrados</w:t>
      </w:r>
      <w:r w:rsidR="002225E8" w:rsidRPr="002C13F3">
        <w:rPr>
          <w:rFonts w:ascii="Century" w:hAnsi="Century"/>
          <w:sz w:val="24"/>
          <w:szCs w:val="24"/>
        </w:rPr>
        <w:t>,</w:t>
      </w:r>
      <w:r w:rsidR="003126CE" w:rsidRPr="002C13F3">
        <w:rPr>
          <w:rFonts w:ascii="Century" w:hAnsi="Century"/>
          <w:sz w:val="24"/>
          <w:szCs w:val="24"/>
        </w:rPr>
        <w:t xml:space="preserve"> para contribuir al buen funcionamiento del mercado interior y la unión económica y monetaria</w:t>
      </w:r>
      <w:r w:rsidR="003126CE" w:rsidRPr="002C13F3">
        <w:rPr>
          <w:rStyle w:val="Refdenotaalpie"/>
          <w:rFonts w:ascii="Century" w:hAnsi="Century"/>
          <w:sz w:val="24"/>
          <w:szCs w:val="24"/>
        </w:rPr>
        <w:footnoteReference w:id="2"/>
      </w:r>
      <w:r w:rsidR="003126CE" w:rsidRPr="002C13F3">
        <w:rPr>
          <w:rFonts w:ascii="Century" w:hAnsi="Century"/>
          <w:sz w:val="24"/>
          <w:szCs w:val="24"/>
        </w:rPr>
        <w:t xml:space="preserve">. </w:t>
      </w:r>
    </w:p>
    <w:p w:rsidR="003126CE" w:rsidRPr="002C13F3" w:rsidRDefault="003126CE" w:rsidP="002D11BC">
      <w:pPr>
        <w:pStyle w:val="NormalWeb"/>
        <w:spacing w:before="0" w:beforeAutospacing="0" w:after="240" w:afterAutospacing="0" w:line="360" w:lineRule="auto"/>
        <w:jc w:val="both"/>
        <w:rPr>
          <w:rFonts w:ascii="Century" w:hAnsi="Century"/>
        </w:rPr>
      </w:pPr>
      <w:r w:rsidRPr="002C13F3">
        <w:rPr>
          <w:rFonts w:ascii="Century" w:hAnsi="Century"/>
        </w:rPr>
        <w:tab/>
      </w:r>
      <w:r w:rsidRPr="002C13F3">
        <w:rPr>
          <w:rFonts w:ascii="Century" w:hAnsi="Century" w:cs="EUAlbertina"/>
          <w:color w:val="000000"/>
        </w:rPr>
        <w:t xml:space="preserve">Para ello, la UE basa su política fiscal especialmente en conseguir que no se obstaculice la adecuada actividad del mercado interior. </w:t>
      </w:r>
      <w:r w:rsidRPr="002C13F3">
        <w:rPr>
          <w:rFonts w:ascii="Century" w:hAnsi="Century"/>
        </w:rPr>
        <w:t>La estrategia de la política fiscal de la UE se desarrolla</w:t>
      </w:r>
      <w:r w:rsidR="002225E8" w:rsidRPr="002C13F3">
        <w:rPr>
          <w:rFonts w:ascii="Century" w:hAnsi="Century"/>
        </w:rPr>
        <w:t xml:space="preserve"> principalmente</w:t>
      </w:r>
      <w:r w:rsidRPr="002C13F3">
        <w:rPr>
          <w:rFonts w:ascii="Century" w:hAnsi="Century"/>
        </w:rPr>
        <w:t xml:space="preserve"> en la Comunicación de la Comisión</w:t>
      </w:r>
      <w:r w:rsidR="002225E8" w:rsidRPr="002C13F3">
        <w:rPr>
          <w:rFonts w:ascii="Century" w:hAnsi="Century"/>
        </w:rPr>
        <w:t xml:space="preserve"> Europea</w:t>
      </w:r>
      <w:r w:rsidRPr="002C13F3">
        <w:rPr>
          <w:rFonts w:ascii="Century" w:hAnsi="Century"/>
        </w:rPr>
        <w:t xml:space="preserve"> “Política fiscal en la Unión Europea – </w:t>
      </w:r>
      <w:r w:rsidRPr="002C13F3">
        <w:rPr>
          <w:rFonts w:ascii="Century" w:hAnsi="Century"/>
        </w:rPr>
        <w:lastRenderedPageBreak/>
        <w:t>Prioridades para los próximos años” [COM (2001) 260 final]. La política fiscal se ha centrado</w:t>
      </w:r>
      <w:r w:rsidR="002225E8" w:rsidRPr="002C13F3">
        <w:rPr>
          <w:rFonts w:ascii="Century" w:hAnsi="Century"/>
        </w:rPr>
        <w:t xml:space="preserve"> así sobre varios ejes</w:t>
      </w:r>
      <w:r w:rsidR="002225E8" w:rsidRPr="00514069">
        <w:rPr>
          <w:rFonts w:asciiTheme="minorHAnsi" w:hAnsiTheme="minorHAnsi" w:cstheme="minorHAnsi"/>
        </w:rPr>
        <w:t>:</w:t>
      </w:r>
      <w:r w:rsidRPr="002C13F3">
        <w:rPr>
          <w:rFonts w:ascii="Century" w:hAnsi="Century"/>
        </w:rPr>
        <w:t xml:space="preserve"> la supresión de obstáculos fiscales en la acti</w:t>
      </w:r>
      <w:r w:rsidR="002225E8" w:rsidRPr="002C13F3">
        <w:rPr>
          <w:rFonts w:ascii="Century" w:hAnsi="Century"/>
        </w:rPr>
        <w:t>vidad económica transfronteriza</w:t>
      </w:r>
      <w:r w:rsidR="002225E8" w:rsidRPr="00EC29FC">
        <w:rPr>
          <w:rFonts w:asciiTheme="minorHAnsi" w:hAnsiTheme="minorHAnsi" w:cstheme="minorHAnsi"/>
        </w:rPr>
        <w:t>;</w:t>
      </w:r>
      <w:r w:rsidRPr="002C13F3">
        <w:rPr>
          <w:rFonts w:ascii="Century" w:hAnsi="Century"/>
        </w:rPr>
        <w:t xml:space="preserve"> la lucha contra la</w:t>
      </w:r>
      <w:r w:rsidR="002225E8" w:rsidRPr="002C13F3">
        <w:rPr>
          <w:rFonts w:ascii="Century" w:hAnsi="Century"/>
        </w:rPr>
        <w:t xml:space="preserve"> competencia fiscal perjudicial y</w:t>
      </w:r>
      <w:r w:rsidRPr="002C13F3">
        <w:rPr>
          <w:rFonts w:ascii="Century" w:hAnsi="Century"/>
        </w:rPr>
        <w:t xml:space="preserve"> la e</w:t>
      </w:r>
      <w:r w:rsidR="002225E8" w:rsidRPr="002C13F3">
        <w:rPr>
          <w:rFonts w:ascii="Century" w:hAnsi="Century"/>
        </w:rPr>
        <w:t>vasión y la elusión de impuestos</w:t>
      </w:r>
      <w:r w:rsidR="002225E8" w:rsidRPr="00EC29FC">
        <w:rPr>
          <w:rFonts w:asciiTheme="minorHAnsi" w:hAnsiTheme="minorHAnsi" w:cstheme="minorHAnsi"/>
        </w:rPr>
        <w:t>;</w:t>
      </w:r>
      <w:r w:rsidRPr="002C13F3">
        <w:rPr>
          <w:rFonts w:ascii="Century" w:hAnsi="Century"/>
        </w:rPr>
        <w:t xml:space="preserve"> y</w:t>
      </w:r>
      <w:r w:rsidR="00A53E38">
        <w:rPr>
          <w:rFonts w:ascii="Century" w:hAnsi="Century"/>
        </w:rPr>
        <w:t>,</w:t>
      </w:r>
      <w:r w:rsidRPr="002C13F3">
        <w:rPr>
          <w:rFonts w:ascii="Century" w:hAnsi="Century"/>
        </w:rPr>
        <w:t xml:space="preserve"> el fomento de una mayor cooperación entre administraciones fiscales para garantizar el control y combatir el fraude. La política fiscal de la UE debe</w:t>
      </w:r>
      <w:r w:rsidR="002225E8" w:rsidRPr="002C13F3">
        <w:rPr>
          <w:rFonts w:ascii="Century" w:hAnsi="Century"/>
        </w:rPr>
        <w:t xml:space="preserve"> </w:t>
      </w:r>
      <w:r w:rsidRPr="002C13F3">
        <w:rPr>
          <w:rFonts w:ascii="Century" w:hAnsi="Century"/>
        </w:rPr>
        <w:t>centrarse</w:t>
      </w:r>
      <w:r w:rsidR="002225E8" w:rsidRPr="002C13F3">
        <w:rPr>
          <w:rFonts w:ascii="Century" w:hAnsi="Century"/>
        </w:rPr>
        <w:t xml:space="preserve"> de este modo</w:t>
      </w:r>
      <w:r w:rsidRPr="002C13F3">
        <w:rPr>
          <w:rFonts w:ascii="Century" w:hAnsi="Century"/>
        </w:rPr>
        <w:t xml:space="preserve"> en los intereses de los obligados tributarios relacionados con la libre circulación de</w:t>
      </w:r>
      <w:r w:rsidR="00154816">
        <w:rPr>
          <w:rFonts w:ascii="Century" w:hAnsi="Century"/>
        </w:rPr>
        <w:t xml:space="preserve"> </w:t>
      </w:r>
      <w:r w:rsidRPr="002C13F3">
        <w:rPr>
          <w:rFonts w:ascii="Century" w:hAnsi="Century"/>
        </w:rPr>
        <w:t>me</w:t>
      </w:r>
      <w:r w:rsidR="002225E8" w:rsidRPr="002C13F3">
        <w:rPr>
          <w:rFonts w:ascii="Century" w:hAnsi="Century"/>
        </w:rPr>
        <w:t>rcancías,</w:t>
      </w:r>
      <w:r w:rsidR="00154816" w:rsidRPr="00154816">
        <w:rPr>
          <w:rFonts w:ascii="Century" w:hAnsi="Century"/>
        </w:rPr>
        <w:t xml:space="preserve"> </w:t>
      </w:r>
      <w:r w:rsidR="00154816" w:rsidRPr="002C13F3">
        <w:rPr>
          <w:rFonts w:ascii="Century" w:hAnsi="Century"/>
        </w:rPr>
        <w:t>personas</w:t>
      </w:r>
      <w:r w:rsidR="00154816">
        <w:rPr>
          <w:rFonts w:ascii="Century" w:hAnsi="Century"/>
        </w:rPr>
        <w:t>,</w:t>
      </w:r>
      <w:r w:rsidR="002225E8" w:rsidRPr="002C13F3">
        <w:rPr>
          <w:rFonts w:ascii="Century" w:hAnsi="Century"/>
        </w:rPr>
        <w:t xml:space="preserve"> servicios y capitales, debiendo </w:t>
      </w:r>
      <w:r w:rsidRPr="002C13F3">
        <w:rPr>
          <w:rFonts w:ascii="Century" w:hAnsi="Century"/>
        </w:rPr>
        <w:t>tratar de eliminar aquellos obstáculos fiscales que dificulten el ejercicio de estas libertades. Por esta razón, los sistemas tributarios de los EM deben ser transparentes y accesibles a los contribuyentes, así como contribuir a un buen funcionamiento del mercado interior</w:t>
      </w:r>
      <w:r w:rsidR="002225E8" w:rsidRPr="002C13F3">
        <w:rPr>
          <w:rFonts w:ascii="Century" w:hAnsi="Century"/>
        </w:rPr>
        <w:t xml:space="preserve"> sobre la </w:t>
      </w:r>
      <w:r w:rsidRPr="002C13F3">
        <w:rPr>
          <w:rFonts w:ascii="Century" w:hAnsi="Century"/>
        </w:rPr>
        <w:t>base</w:t>
      </w:r>
      <w:r w:rsidR="002225E8" w:rsidRPr="002C13F3">
        <w:rPr>
          <w:rFonts w:ascii="Century" w:hAnsi="Century"/>
        </w:rPr>
        <w:t xml:space="preserve"> de</w:t>
      </w:r>
      <w:r w:rsidRPr="002C13F3">
        <w:rPr>
          <w:rFonts w:ascii="Century" w:hAnsi="Century"/>
        </w:rPr>
        <w:t xml:space="preserve"> dichas libertades. </w:t>
      </w:r>
    </w:p>
    <w:p w:rsidR="003126CE" w:rsidRPr="002C13F3" w:rsidRDefault="00C314BB" w:rsidP="00C314BB">
      <w:pPr>
        <w:tabs>
          <w:tab w:val="left" w:pos="0"/>
        </w:tabs>
        <w:spacing w:after="240" w:line="360" w:lineRule="auto"/>
        <w:jc w:val="both"/>
        <w:rPr>
          <w:rFonts w:ascii="Century" w:hAnsi="Century"/>
          <w:sz w:val="24"/>
          <w:szCs w:val="24"/>
        </w:rPr>
      </w:pPr>
      <w:r>
        <w:rPr>
          <w:rFonts w:ascii="Century" w:hAnsi="Century"/>
          <w:sz w:val="24"/>
          <w:szCs w:val="24"/>
        </w:rPr>
        <w:tab/>
      </w:r>
      <w:r w:rsidR="00806163" w:rsidRPr="002C13F3">
        <w:rPr>
          <w:rFonts w:ascii="Century" w:hAnsi="Century"/>
          <w:sz w:val="24"/>
          <w:szCs w:val="24"/>
        </w:rPr>
        <w:t>Al mismo tiempo,</w:t>
      </w:r>
      <w:r w:rsidR="003126CE" w:rsidRPr="002C13F3">
        <w:rPr>
          <w:rFonts w:ascii="Century" w:hAnsi="Century"/>
          <w:sz w:val="24"/>
          <w:szCs w:val="24"/>
        </w:rPr>
        <w:t xml:space="preserve"> la política fiscal debe </w:t>
      </w:r>
      <w:r w:rsidR="00806163" w:rsidRPr="002C13F3">
        <w:rPr>
          <w:rFonts w:ascii="Century" w:hAnsi="Century"/>
          <w:sz w:val="24"/>
          <w:szCs w:val="24"/>
        </w:rPr>
        <w:t>evitar las</w:t>
      </w:r>
      <w:r w:rsidR="003126CE" w:rsidRPr="002C13F3">
        <w:rPr>
          <w:rFonts w:ascii="Century" w:hAnsi="Century"/>
          <w:sz w:val="24"/>
          <w:szCs w:val="24"/>
        </w:rPr>
        <w:t xml:space="preserve"> distorsiones fiscales que se derivan de los diferentes regímenes tributarios de los EM, </w:t>
      </w:r>
      <w:r w:rsidR="00FA2FE4" w:rsidRPr="002C13F3">
        <w:rPr>
          <w:rFonts w:ascii="Century" w:hAnsi="Century"/>
          <w:sz w:val="24"/>
          <w:szCs w:val="24"/>
        </w:rPr>
        <w:t>y ademá</w:t>
      </w:r>
      <w:r w:rsidR="003126CE" w:rsidRPr="002C13F3">
        <w:rPr>
          <w:rFonts w:ascii="Century" w:hAnsi="Century"/>
          <w:sz w:val="24"/>
          <w:szCs w:val="24"/>
        </w:rPr>
        <w:t xml:space="preserve">s, se centra en mejorar </w:t>
      </w:r>
      <w:r w:rsidR="00FA2FE4" w:rsidRPr="002C13F3">
        <w:rPr>
          <w:rFonts w:ascii="Century" w:hAnsi="Century"/>
          <w:sz w:val="24"/>
          <w:szCs w:val="24"/>
        </w:rPr>
        <w:t>los mecanismos de cooperación y</w:t>
      </w:r>
      <w:r w:rsidR="003126CE" w:rsidRPr="002C13F3">
        <w:rPr>
          <w:rFonts w:ascii="Century" w:hAnsi="Century"/>
          <w:sz w:val="24"/>
          <w:szCs w:val="24"/>
        </w:rPr>
        <w:t xml:space="preserve"> coordinación</w:t>
      </w:r>
      <w:r w:rsidR="00FA2FE4" w:rsidRPr="002C13F3">
        <w:rPr>
          <w:rFonts w:ascii="Century" w:hAnsi="Century"/>
          <w:sz w:val="24"/>
          <w:szCs w:val="24"/>
        </w:rPr>
        <w:t>,</w:t>
      </w:r>
      <w:r w:rsidR="003126CE" w:rsidRPr="002C13F3">
        <w:rPr>
          <w:rFonts w:ascii="Century" w:hAnsi="Century"/>
          <w:sz w:val="24"/>
          <w:szCs w:val="24"/>
        </w:rPr>
        <w:t xml:space="preserve"> y la</w:t>
      </w:r>
      <w:r w:rsidR="00FA2FE4" w:rsidRPr="002C13F3">
        <w:rPr>
          <w:rFonts w:ascii="Century" w:hAnsi="Century"/>
          <w:sz w:val="24"/>
          <w:szCs w:val="24"/>
        </w:rPr>
        <w:t xml:space="preserve"> mayor</w:t>
      </w:r>
      <w:r w:rsidR="003126CE" w:rsidRPr="002C13F3">
        <w:rPr>
          <w:rFonts w:ascii="Century" w:hAnsi="Century"/>
          <w:sz w:val="24"/>
          <w:szCs w:val="24"/>
        </w:rPr>
        <w:t xml:space="preserve"> transparencia entre los EM en materia tributaria</w:t>
      </w:r>
      <w:r w:rsidR="00FA2FE4" w:rsidRPr="002C13F3">
        <w:rPr>
          <w:rFonts w:ascii="Century" w:hAnsi="Century"/>
          <w:sz w:val="24"/>
          <w:szCs w:val="24"/>
        </w:rPr>
        <w:t>,</w:t>
      </w:r>
      <w:r w:rsidR="003126CE" w:rsidRPr="002C13F3">
        <w:rPr>
          <w:rFonts w:ascii="Century" w:hAnsi="Century"/>
          <w:sz w:val="24"/>
          <w:szCs w:val="24"/>
        </w:rPr>
        <w:t xml:space="preserve"> para alcanzar una mayor igualdad en</w:t>
      </w:r>
      <w:r w:rsidR="00FA2FE4" w:rsidRPr="002C13F3">
        <w:rPr>
          <w:rFonts w:ascii="Century" w:hAnsi="Century"/>
          <w:sz w:val="24"/>
          <w:szCs w:val="24"/>
        </w:rPr>
        <w:t>tre todos los</w:t>
      </w:r>
      <w:r w:rsidR="003126CE" w:rsidRPr="002C13F3">
        <w:rPr>
          <w:rFonts w:ascii="Century" w:hAnsi="Century"/>
          <w:sz w:val="24"/>
          <w:szCs w:val="24"/>
        </w:rPr>
        <w:t xml:space="preserve"> territorio</w:t>
      </w:r>
      <w:r w:rsidR="00FA2FE4" w:rsidRPr="002C13F3">
        <w:rPr>
          <w:rFonts w:ascii="Century" w:hAnsi="Century"/>
          <w:sz w:val="24"/>
          <w:szCs w:val="24"/>
        </w:rPr>
        <w:t>s</w:t>
      </w:r>
      <w:r w:rsidR="003126CE" w:rsidRPr="002C13F3">
        <w:rPr>
          <w:rStyle w:val="Refdenotaalpie"/>
          <w:rFonts w:ascii="Century" w:hAnsi="Century"/>
          <w:sz w:val="24"/>
          <w:szCs w:val="24"/>
        </w:rPr>
        <w:footnoteReference w:id="3"/>
      </w:r>
      <w:r w:rsidR="003126CE" w:rsidRPr="002C13F3">
        <w:rPr>
          <w:rFonts w:ascii="Century" w:hAnsi="Century"/>
          <w:sz w:val="24"/>
          <w:szCs w:val="24"/>
        </w:rPr>
        <w:t>.</w:t>
      </w:r>
    </w:p>
    <w:p w:rsidR="003126CE" w:rsidRPr="002C13F3" w:rsidRDefault="00C314BB" w:rsidP="00C314BB">
      <w:pPr>
        <w:tabs>
          <w:tab w:val="left" w:pos="0"/>
        </w:tabs>
        <w:spacing w:after="240" w:line="360" w:lineRule="auto"/>
        <w:jc w:val="both"/>
        <w:rPr>
          <w:rFonts w:ascii="Century" w:hAnsi="Century"/>
          <w:sz w:val="24"/>
          <w:szCs w:val="24"/>
        </w:rPr>
      </w:pPr>
      <w:r>
        <w:rPr>
          <w:rFonts w:ascii="Century" w:hAnsi="Century"/>
          <w:sz w:val="24"/>
          <w:szCs w:val="24"/>
        </w:rPr>
        <w:tab/>
      </w:r>
      <w:r w:rsidR="00FA2FE4" w:rsidRPr="002C13F3">
        <w:rPr>
          <w:rFonts w:ascii="Century" w:hAnsi="Century"/>
          <w:sz w:val="24"/>
          <w:szCs w:val="24"/>
        </w:rPr>
        <w:t>Y es que e</w:t>
      </w:r>
      <w:r w:rsidR="003126CE" w:rsidRPr="002C13F3">
        <w:rPr>
          <w:rFonts w:ascii="Century" w:hAnsi="Century"/>
          <w:sz w:val="24"/>
          <w:szCs w:val="24"/>
        </w:rPr>
        <w:t>n el ámbito de la política fiscal, se ha generado una</w:t>
      </w:r>
      <w:r w:rsidR="00FA2FE4" w:rsidRPr="002C13F3">
        <w:rPr>
          <w:rFonts w:ascii="Century" w:hAnsi="Century"/>
          <w:sz w:val="24"/>
          <w:szCs w:val="24"/>
        </w:rPr>
        <w:t xml:space="preserve"> importante</w:t>
      </w:r>
      <w:r w:rsidR="003126CE" w:rsidRPr="002C13F3">
        <w:rPr>
          <w:rFonts w:ascii="Century" w:hAnsi="Century"/>
          <w:sz w:val="24"/>
          <w:szCs w:val="24"/>
        </w:rPr>
        <w:t xml:space="preserve"> competencia</w:t>
      </w:r>
      <w:r w:rsidR="00FA2FE4" w:rsidRPr="002C13F3">
        <w:rPr>
          <w:rFonts w:ascii="Century" w:hAnsi="Century"/>
          <w:sz w:val="24"/>
          <w:szCs w:val="24"/>
        </w:rPr>
        <w:t xml:space="preserve"> fiscal</w:t>
      </w:r>
      <w:r w:rsidR="003126CE" w:rsidRPr="002C13F3">
        <w:rPr>
          <w:rFonts w:ascii="Century" w:hAnsi="Century"/>
          <w:sz w:val="24"/>
          <w:szCs w:val="24"/>
        </w:rPr>
        <w:t xml:space="preserve"> </w:t>
      </w:r>
      <w:r w:rsidR="00FA2FE4" w:rsidRPr="002C13F3">
        <w:rPr>
          <w:rFonts w:ascii="Century" w:hAnsi="Century"/>
          <w:sz w:val="24"/>
          <w:szCs w:val="24"/>
        </w:rPr>
        <w:t xml:space="preserve">entre EM </w:t>
      </w:r>
      <w:r w:rsidR="003126CE" w:rsidRPr="002C13F3">
        <w:rPr>
          <w:rFonts w:ascii="Century" w:hAnsi="Century"/>
          <w:sz w:val="24"/>
          <w:szCs w:val="24"/>
        </w:rPr>
        <w:t xml:space="preserve">debido a que las medidas fiscales adoptadas en cada Estado </w:t>
      </w:r>
      <w:r w:rsidR="00FA2FE4" w:rsidRPr="002C13F3">
        <w:rPr>
          <w:rFonts w:ascii="Century" w:hAnsi="Century"/>
          <w:sz w:val="24"/>
          <w:szCs w:val="24"/>
        </w:rPr>
        <w:t>han afectado al resto</w:t>
      </w:r>
      <w:r w:rsidR="003126CE" w:rsidRPr="002C13F3">
        <w:rPr>
          <w:rFonts w:ascii="Century" w:hAnsi="Century"/>
          <w:sz w:val="24"/>
          <w:szCs w:val="24"/>
        </w:rPr>
        <w:t>.</w:t>
      </w:r>
      <w:r w:rsidR="00FA2FE4" w:rsidRPr="002C13F3">
        <w:rPr>
          <w:rFonts w:ascii="Century" w:hAnsi="Century"/>
          <w:sz w:val="24"/>
          <w:szCs w:val="24"/>
        </w:rPr>
        <w:t xml:space="preserve"> La competencia fiscal presenta </w:t>
      </w:r>
      <w:r w:rsidR="003126CE" w:rsidRPr="002C13F3">
        <w:rPr>
          <w:rFonts w:ascii="Century" w:hAnsi="Century"/>
          <w:sz w:val="24"/>
          <w:szCs w:val="24"/>
        </w:rPr>
        <w:t>u</w:t>
      </w:r>
      <w:r w:rsidR="00FA2FE4" w:rsidRPr="002C13F3">
        <w:rPr>
          <w:rFonts w:ascii="Century" w:hAnsi="Century"/>
          <w:sz w:val="24"/>
          <w:szCs w:val="24"/>
        </w:rPr>
        <w:t>n</w:t>
      </w:r>
      <w:r w:rsidR="003126CE" w:rsidRPr="002C13F3">
        <w:rPr>
          <w:rFonts w:ascii="Century" w:hAnsi="Century"/>
          <w:sz w:val="24"/>
          <w:szCs w:val="24"/>
        </w:rPr>
        <w:t xml:space="preserve"> lado positivo y</w:t>
      </w:r>
      <w:r w:rsidR="00FA2FE4" w:rsidRPr="002C13F3">
        <w:rPr>
          <w:rFonts w:ascii="Century" w:hAnsi="Century"/>
          <w:sz w:val="24"/>
          <w:szCs w:val="24"/>
        </w:rPr>
        <w:t xml:space="preserve"> otro</w:t>
      </w:r>
      <w:r w:rsidR="003126CE" w:rsidRPr="002C13F3">
        <w:rPr>
          <w:rFonts w:ascii="Century" w:hAnsi="Century"/>
          <w:sz w:val="24"/>
          <w:szCs w:val="24"/>
        </w:rPr>
        <w:t xml:space="preserve"> negativo. En primer lugar, se</w:t>
      </w:r>
      <w:r w:rsidR="00FA2FE4" w:rsidRPr="002C13F3">
        <w:rPr>
          <w:rFonts w:ascii="Century" w:hAnsi="Century"/>
          <w:sz w:val="24"/>
          <w:szCs w:val="24"/>
        </w:rPr>
        <w:t xml:space="preserve"> entiende</w:t>
      </w:r>
      <w:r w:rsidR="003126CE" w:rsidRPr="002C13F3">
        <w:rPr>
          <w:rFonts w:ascii="Century" w:hAnsi="Century"/>
          <w:sz w:val="24"/>
          <w:szCs w:val="24"/>
        </w:rPr>
        <w:t xml:space="preserve"> como competencia fiscal</w:t>
      </w:r>
      <w:r w:rsidR="00FA2FE4" w:rsidRPr="002C13F3">
        <w:rPr>
          <w:rFonts w:ascii="Century" w:hAnsi="Century"/>
          <w:sz w:val="24"/>
          <w:szCs w:val="24"/>
        </w:rPr>
        <w:t xml:space="preserve"> lícita</w:t>
      </w:r>
      <w:r w:rsidR="003126CE" w:rsidRPr="002C13F3">
        <w:rPr>
          <w:rFonts w:ascii="Century" w:hAnsi="Century"/>
          <w:sz w:val="24"/>
          <w:szCs w:val="24"/>
        </w:rPr>
        <w:t xml:space="preserve"> “</w:t>
      </w:r>
      <w:r w:rsidR="00FA2FE4" w:rsidRPr="002C13F3">
        <w:rPr>
          <w:rFonts w:ascii="Century" w:hAnsi="Century"/>
          <w:sz w:val="24"/>
          <w:szCs w:val="24"/>
        </w:rPr>
        <w:t>aqué</w:t>
      </w:r>
      <w:r w:rsidR="003126CE" w:rsidRPr="002C13F3">
        <w:rPr>
          <w:rFonts w:ascii="Century" w:hAnsi="Century"/>
          <w:sz w:val="24"/>
          <w:szCs w:val="24"/>
        </w:rPr>
        <w:t>l proceso de eliminación de ineficiencias y aumento de la neutralidad en los sistemas fiscales, efectuados con el fin de evitar que la fiscalidad sea un obstáculo en el desarrollo de actividad</w:t>
      </w:r>
      <w:r w:rsidR="00CE1745" w:rsidRPr="002C13F3">
        <w:rPr>
          <w:rFonts w:ascii="Century" w:hAnsi="Century"/>
          <w:sz w:val="24"/>
          <w:szCs w:val="24"/>
        </w:rPr>
        <w:t>es económicas”. Junto a ella</w:t>
      </w:r>
      <w:r w:rsidR="00582B66" w:rsidRPr="002C13F3">
        <w:rPr>
          <w:rFonts w:ascii="Century" w:hAnsi="Century"/>
          <w:sz w:val="24"/>
          <w:szCs w:val="24"/>
        </w:rPr>
        <w:t>,</w:t>
      </w:r>
      <w:r w:rsidR="003126CE" w:rsidRPr="002C13F3">
        <w:rPr>
          <w:rFonts w:ascii="Century" w:hAnsi="Century"/>
          <w:sz w:val="24"/>
          <w:szCs w:val="24"/>
        </w:rPr>
        <w:t xml:space="preserve"> la competencia fiscal perjudicial</w:t>
      </w:r>
      <w:r w:rsidR="00582B66" w:rsidRPr="002C13F3">
        <w:rPr>
          <w:rFonts w:ascii="Century" w:hAnsi="Century"/>
          <w:sz w:val="24"/>
          <w:szCs w:val="24"/>
        </w:rPr>
        <w:t xml:space="preserve"> se producirá</w:t>
      </w:r>
      <w:r w:rsidR="003126CE" w:rsidRPr="002C13F3">
        <w:rPr>
          <w:rFonts w:ascii="Century" w:hAnsi="Century"/>
          <w:sz w:val="24"/>
          <w:szCs w:val="24"/>
        </w:rPr>
        <w:t xml:space="preserve"> “cuando, con el fin de atraer capitales o bases imponibles, se utiliza el </w:t>
      </w:r>
      <w:r w:rsidR="003126CE" w:rsidRPr="002C13F3">
        <w:rPr>
          <w:rFonts w:ascii="Century" w:hAnsi="Century"/>
          <w:sz w:val="24"/>
          <w:szCs w:val="24"/>
        </w:rPr>
        <w:lastRenderedPageBreak/>
        <w:t>elemento fiscal como ventaja comparativa, ofreciendo tasas de gravamen reducidas y opacidad informativa”. Esta última</w:t>
      </w:r>
      <w:r w:rsidR="00582B66" w:rsidRPr="002C13F3">
        <w:rPr>
          <w:rFonts w:ascii="Century" w:hAnsi="Century"/>
          <w:sz w:val="24"/>
          <w:szCs w:val="24"/>
        </w:rPr>
        <w:t xml:space="preserve"> conlleva </w:t>
      </w:r>
      <w:r w:rsidR="00E07A9E" w:rsidRPr="002C13F3">
        <w:rPr>
          <w:rFonts w:ascii="Century" w:hAnsi="Century"/>
          <w:sz w:val="24"/>
          <w:szCs w:val="24"/>
        </w:rPr>
        <w:t>la concesión</w:t>
      </w:r>
      <w:r w:rsidR="00582B66" w:rsidRPr="002C13F3">
        <w:rPr>
          <w:rFonts w:ascii="Century" w:hAnsi="Century"/>
          <w:sz w:val="24"/>
          <w:szCs w:val="24"/>
        </w:rPr>
        <w:t xml:space="preserve"> en los </w:t>
      </w:r>
      <w:r w:rsidR="00FF0BEB">
        <w:rPr>
          <w:rFonts w:ascii="Century" w:hAnsi="Century"/>
          <w:sz w:val="24"/>
          <w:szCs w:val="24"/>
        </w:rPr>
        <w:t>sistemas</w:t>
      </w:r>
      <w:r w:rsidR="00582B66" w:rsidRPr="002C13F3">
        <w:rPr>
          <w:rFonts w:ascii="Century" w:hAnsi="Century"/>
          <w:sz w:val="24"/>
          <w:szCs w:val="24"/>
        </w:rPr>
        <w:t xml:space="preserve"> nacionales de </w:t>
      </w:r>
      <w:r w:rsidR="00E07A9E" w:rsidRPr="002C13F3">
        <w:rPr>
          <w:rFonts w:ascii="Century" w:hAnsi="Century"/>
          <w:sz w:val="24"/>
          <w:szCs w:val="24"/>
        </w:rPr>
        <w:t xml:space="preserve">ventajas fiscales descomunales </w:t>
      </w:r>
      <w:r w:rsidR="003126CE" w:rsidRPr="002C13F3">
        <w:rPr>
          <w:rFonts w:ascii="Century" w:hAnsi="Century"/>
          <w:sz w:val="24"/>
          <w:szCs w:val="24"/>
        </w:rPr>
        <w:t>o injustificada</w:t>
      </w:r>
      <w:r w:rsidR="009E7770">
        <w:rPr>
          <w:rFonts w:ascii="Century" w:hAnsi="Century"/>
          <w:sz w:val="24"/>
          <w:szCs w:val="24"/>
        </w:rPr>
        <w:t>s</w:t>
      </w:r>
      <w:r w:rsidR="003126CE" w:rsidRPr="002C13F3">
        <w:rPr>
          <w:rStyle w:val="Refdenotaalpie"/>
          <w:rFonts w:ascii="Century" w:hAnsi="Century"/>
          <w:sz w:val="24"/>
          <w:szCs w:val="24"/>
        </w:rPr>
        <w:footnoteReference w:id="4"/>
      </w:r>
      <w:r w:rsidR="003126CE" w:rsidRPr="002C13F3">
        <w:rPr>
          <w:rFonts w:ascii="Century" w:hAnsi="Century"/>
          <w:sz w:val="24"/>
          <w:szCs w:val="24"/>
        </w:rPr>
        <w:t>.</w:t>
      </w:r>
    </w:p>
    <w:p w:rsidR="00904191" w:rsidRPr="002C13F3" w:rsidRDefault="00586528" w:rsidP="00586528">
      <w:pPr>
        <w:tabs>
          <w:tab w:val="left" w:pos="0"/>
        </w:tabs>
        <w:spacing w:after="240" w:line="360" w:lineRule="auto"/>
        <w:jc w:val="both"/>
        <w:rPr>
          <w:rFonts w:ascii="Century" w:hAnsi="Century"/>
          <w:sz w:val="24"/>
          <w:szCs w:val="24"/>
        </w:rPr>
      </w:pPr>
      <w:r>
        <w:rPr>
          <w:rFonts w:ascii="Century" w:hAnsi="Century"/>
          <w:sz w:val="24"/>
          <w:szCs w:val="24"/>
        </w:rPr>
        <w:tab/>
      </w:r>
      <w:r w:rsidR="004F0967" w:rsidRPr="002C13F3">
        <w:rPr>
          <w:rFonts w:ascii="Century" w:hAnsi="Century"/>
          <w:sz w:val="24"/>
          <w:szCs w:val="24"/>
        </w:rPr>
        <w:t xml:space="preserve">Este hecho se ha dado </w:t>
      </w:r>
      <w:r w:rsidR="00A53E38">
        <w:rPr>
          <w:rFonts w:ascii="Century" w:hAnsi="Century"/>
          <w:sz w:val="24"/>
          <w:szCs w:val="24"/>
        </w:rPr>
        <w:t xml:space="preserve">frecuentemente </w:t>
      </w:r>
      <w:r w:rsidR="004F0967" w:rsidRPr="002C13F3">
        <w:rPr>
          <w:rFonts w:ascii="Century" w:hAnsi="Century"/>
          <w:sz w:val="24"/>
          <w:szCs w:val="24"/>
        </w:rPr>
        <w:t>e</w:t>
      </w:r>
      <w:r w:rsidR="003126CE" w:rsidRPr="002C13F3">
        <w:rPr>
          <w:rFonts w:ascii="Century" w:hAnsi="Century"/>
          <w:sz w:val="24"/>
          <w:szCs w:val="24"/>
        </w:rPr>
        <w:t xml:space="preserve">n los últimos años, </w:t>
      </w:r>
      <w:r w:rsidR="004F0967" w:rsidRPr="002C13F3">
        <w:rPr>
          <w:rFonts w:ascii="Century" w:hAnsi="Century"/>
          <w:sz w:val="24"/>
          <w:szCs w:val="24"/>
        </w:rPr>
        <w:t>aprovechándose de la oportunidad de un aumento d</w:t>
      </w:r>
      <w:r w:rsidR="003126CE" w:rsidRPr="002C13F3">
        <w:rPr>
          <w:rFonts w:ascii="Century" w:hAnsi="Century"/>
          <w:sz w:val="24"/>
          <w:szCs w:val="24"/>
        </w:rPr>
        <w:t>el número de ciudadanos de la UE que se</w:t>
      </w:r>
      <w:r w:rsidR="004F0967" w:rsidRPr="002C13F3">
        <w:rPr>
          <w:rFonts w:ascii="Century" w:hAnsi="Century"/>
          <w:sz w:val="24"/>
          <w:szCs w:val="24"/>
        </w:rPr>
        <w:t xml:space="preserve"> han ido</w:t>
      </w:r>
      <w:r w:rsidR="003126CE" w:rsidRPr="002C13F3">
        <w:rPr>
          <w:rFonts w:ascii="Century" w:hAnsi="Century"/>
          <w:sz w:val="24"/>
          <w:szCs w:val="24"/>
        </w:rPr>
        <w:t xml:space="preserve"> desplazan</w:t>
      </w:r>
      <w:r w:rsidR="004F0967" w:rsidRPr="002C13F3">
        <w:rPr>
          <w:rFonts w:ascii="Century" w:hAnsi="Century"/>
          <w:sz w:val="24"/>
          <w:szCs w:val="24"/>
        </w:rPr>
        <w:t>do</w:t>
      </w:r>
      <w:r w:rsidR="003126CE" w:rsidRPr="002C13F3">
        <w:rPr>
          <w:rFonts w:ascii="Century" w:hAnsi="Century"/>
          <w:sz w:val="24"/>
          <w:szCs w:val="24"/>
        </w:rPr>
        <w:t xml:space="preserve"> de un Estado a otro dentro de este territorio</w:t>
      </w:r>
      <w:r w:rsidR="00A53E38">
        <w:rPr>
          <w:rFonts w:ascii="Century" w:hAnsi="Century"/>
          <w:sz w:val="24"/>
          <w:szCs w:val="24"/>
        </w:rPr>
        <w:t>,</w:t>
      </w:r>
      <w:r w:rsidR="003126CE" w:rsidRPr="002C13F3">
        <w:rPr>
          <w:rFonts w:ascii="Century" w:hAnsi="Century"/>
          <w:sz w:val="24"/>
          <w:szCs w:val="24"/>
        </w:rPr>
        <w:t xml:space="preserve"> por varias razones, y </w:t>
      </w:r>
      <w:r w:rsidR="00582B66" w:rsidRPr="002C13F3">
        <w:rPr>
          <w:rFonts w:ascii="Century" w:hAnsi="Century"/>
          <w:sz w:val="24"/>
          <w:szCs w:val="24"/>
        </w:rPr>
        <w:t xml:space="preserve">que </w:t>
      </w:r>
      <w:r w:rsidR="004F0967" w:rsidRPr="002C13F3">
        <w:rPr>
          <w:rFonts w:ascii="Century" w:hAnsi="Century"/>
          <w:sz w:val="24"/>
          <w:szCs w:val="24"/>
        </w:rPr>
        <w:t>han ido adqui</w:t>
      </w:r>
      <w:r w:rsidR="003126CE" w:rsidRPr="002C13F3">
        <w:rPr>
          <w:rFonts w:ascii="Century" w:hAnsi="Century"/>
          <w:sz w:val="24"/>
          <w:szCs w:val="24"/>
        </w:rPr>
        <w:t>r</w:t>
      </w:r>
      <w:r w:rsidR="004F0967" w:rsidRPr="002C13F3">
        <w:rPr>
          <w:rFonts w:ascii="Century" w:hAnsi="Century"/>
          <w:sz w:val="24"/>
          <w:szCs w:val="24"/>
        </w:rPr>
        <w:t>i</w:t>
      </w:r>
      <w:r w:rsidR="003126CE" w:rsidRPr="002C13F3">
        <w:rPr>
          <w:rFonts w:ascii="Century" w:hAnsi="Century"/>
          <w:sz w:val="24"/>
          <w:szCs w:val="24"/>
        </w:rPr>
        <w:t>en</w:t>
      </w:r>
      <w:r w:rsidR="004F0967" w:rsidRPr="002C13F3">
        <w:rPr>
          <w:rFonts w:ascii="Century" w:hAnsi="Century"/>
          <w:sz w:val="24"/>
          <w:szCs w:val="24"/>
        </w:rPr>
        <w:t>do bienes e invi</w:t>
      </w:r>
      <w:r w:rsidR="003126CE" w:rsidRPr="002C13F3">
        <w:rPr>
          <w:rFonts w:ascii="Century" w:hAnsi="Century"/>
          <w:sz w:val="24"/>
          <w:szCs w:val="24"/>
        </w:rPr>
        <w:t>rt</w:t>
      </w:r>
      <w:r w:rsidR="004F0967" w:rsidRPr="002C13F3">
        <w:rPr>
          <w:rFonts w:ascii="Century" w:hAnsi="Century"/>
          <w:sz w:val="24"/>
          <w:szCs w:val="24"/>
        </w:rPr>
        <w:t>i</w:t>
      </w:r>
      <w:r w:rsidR="003126CE" w:rsidRPr="002C13F3">
        <w:rPr>
          <w:rFonts w:ascii="Century" w:hAnsi="Century"/>
          <w:sz w:val="24"/>
          <w:szCs w:val="24"/>
        </w:rPr>
        <w:t>en</w:t>
      </w:r>
      <w:r w:rsidR="004F0967" w:rsidRPr="002C13F3">
        <w:rPr>
          <w:rFonts w:ascii="Century" w:hAnsi="Century"/>
          <w:sz w:val="24"/>
          <w:szCs w:val="24"/>
        </w:rPr>
        <w:t>do</w:t>
      </w:r>
      <w:r w:rsidR="003126CE" w:rsidRPr="002C13F3">
        <w:rPr>
          <w:rFonts w:ascii="Century" w:hAnsi="Century"/>
          <w:sz w:val="24"/>
          <w:szCs w:val="24"/>
        </w:rPr>
        <w:t xml:space="preserve"> en activos en Estados distintos de su país de origen para obtener una </w:t>
      </w:r>
      <w:r w:rsidR="00582B66" w:rsidRPr="002C13F3">
        <w:rPr>
          <w:rFonts w:ascii="Century" w:hAnsi="Century"/>
          <w:sz w:val="24"/>
          <w:szCs w:val="24"/>
        </w:rPr>
        <w:t>menor carga fiscal.</w:t>
      </w:r>
      <w:r w:rsidR="004F0967" w:rsidRPr="002C13F3">
        <w:rPr>
          <w:rFonts w:ascii="Century" w:hAnsi="Century"/>
          <w:sz w:val="24"/>
          <w:szCs w:val="24"/>
        </w:rPr>
        <w:t xml:space="preserve"> Se considera, no obstante, que a</w:t>
      </w:r>
      <w:r w:rsidR="003126CE" w:rsidRPr="002C13F3">
        <w:rPr>
          <w:rFonts w:ascii="Century" w:hAnsi="Century"/>
          <w:sz w:val="24"/>
          <w:szCs w:val="24"/>
        </w:rPr>
        <w:t xml:space="preserve">quellas medidas que puedan disuadir a </w:t>
      </w:r>
      <w:r w:rsidR="00582B66" w:rsidRPr="002C13F3">
        <w:rPr>
          <w:rFonts w:ascii="Century" w:hAnsi="Century"/>
          <w:sz w:val="24"/>
          <w:szCs w:val="24"/>
        </w:rPr>
        <w:t xml:space="preserve">los </w:t>
      </w:r>
      <w:r w:rsidR="003126CE" w:rsidRPr="002C13F3">
        <w:rPr>
          <w:rFonts w:ascii="Century" w:hAnsi="Century"/>
          <w:sz w:val="24"/>
          <w:szCs w:val="24"/>
        </w:rPr>
        <w:t>ciudadanos de realizar o mantener inversiones en otro Estado miembro</w:t>
      </w:r>
      <w:r w:rsidR="00582B66" w:rsidRPr="002C13F3">
        <w:rPr>
          <w:rFonts w:ascii="Century" w:hAnsi="Century"/>
          <w:sz w:val="24"/>
          <w:szCs w:val="24"/>
        </w:rPr>
        <w:t>,</w:t>
      </w:r>
      <w:r w:rsidR="003126CE" w:rsidRPr="002C13F3">
        <w:rPr>
          <w:rFonts w:ascii="Century" w:hAnsi="Century"/>
          <w:sz w:val="24"/>
          <w:szCs w:val="24"/>
        </w:rPr>
        <w:t xml:space="preserve"> constituye</w:t>
      </w:r>
      <w:r w:rsidR="004F0967" w:rsidRPr="002C13F3">
        <w:rPr>
          <w:rFonts w:ascii="Century" w:hAnsi="Century"/>
          <w:sz w:val="24"/>
          <w:szCs w:val="24"/>
        </w:rPr>
        <w:t xml:space="preserve"> </w:t>
      </w:r>
      <w:r w:rsidR="003126CE" w:rsidRPr="002C13F3">
        <w:rPr>
          <w:rFonts w:ascii="Century" w:hAnsi="Century"/>
          <w:sz w:val="24"/>
          <w:szCs w:val="24"/>
        </w:rPr>
        <w:t>una restricción a</w:t>
      </w:r>
      <w:r w:rsidR="00582B66" w:rsidRPr="002C13F3">
        <w:rPr>
          <w:rFonts w:ascii="Century" w:hAnsi="Century"/>
          <w:sz w:val="24"/>
          <w:szCs w:val="24"/>
        </w:rPr>
        <w:t xml:space="preserve"> la libre circulación</w:t>
      </w:r>
      <w:r w:rsidR="003126CE" w:rsidRPr="002C13F3">
        <w:rPr>
          <w:rFonts w:ascii="Century" w:hAnsi="Century"/>
          <w:sz w:val="24"/>
          <w:szCs w:val="24"/>
        </w:rPr>
        <w:t xml:space="preserve"> de capitales. </w:t>
      </w:r>
      <w:r w:rsidR="00582B66" w:rsidRPr="002C13F3">
        <w:rPr>
          <w:rFonts w:ascii="Century" w:hAnsi="Century"/>
          <w:sz w:val="24"/>
          <w:szCs w:val="24"/>
        </w:rPr>
        <w:t>L</w:t>
      </w:r>
      <w:r w:rsidR="003126CE" w:rsidRPr="002C13F3">
        <w:rPr>
          <w:rFonts w:ascii="Century" w:hAnsi="Century"/>
          <w:sz w:val="24"/>
          <w:szCs w:val="24"/>
        </w:rPr>
        <w:t>a distorsión</w:t>
      </w:r>
      <w:r w:rsidR="00582B66" w:rsidRPr="002C13F3">
        <w:rPr>
          <w:rFonts w:ascii="Century" w:hAnsi="Century"/>
          <w:sz w:val="24"/>
          <w:szCs w:val="24"/>
        </w:rPr>
        <w:t xml:space="preserve"> provocada por</w:t>
      </w:r>
      <w:r w:rsidR="003126CE" w:rsidRPr="002C13F3">
        <w:rPr>
          <w:rFonts w:ascii="Century" w:hAnsi="Century"/>
          <w:sz w:val="24"/>
          <w:szCs w:val="24"/>
        </w:rPr>
        <w:t xml:space="preserve"> los sistemas fiscales</w:t>
      </w:r>
      <w:r w:rsidR="00582B66" w:rsidRPr="002C13F3">
        <w:rPr>
          <w:rFonts w:ascii="Century" w:hAnsi="Century"/>
          <w:sz w:val="24"/>
          <w:szCs w:val="24"/>
        </w:rPr>
        <w:t>,</w:t>
      </w:r>
      <w:r w:rsidR="003126CE" w:rsidRPr="002C13F3">
        <w:rPr>
          <w:rFonts w:ascii="Century" w:hAnsi="Century"/>
          <w:sz w:val="24"/>
          <w:szCs w:val="24"/>
        </w:rPr>
        <w:t xml:space="preserve"> que afecta a la movilidad de los bienes, personas</w:t>
      </w:r>
      <w:r>
        <w:rPr>
          <w:rFonts w:ascii="Century" w:hAnsi="Century"/>
          <w:sz w:val="24"/>
          <w:szCs w:val="24"/>
        </w:rPr>
        <w:t>,</w:t>
      </w:r>
      <w:r w:rsidRPr="00586528">
        <w:rPr>
          <w:rFonts w:ascii="Century" w:hAnsi="Century"/>
          <w:sz w:val="24"/>
          <w:szCs w:val="24"/>
        </w:rPr>
        <w:t xml:space="preserve"> </w:t>
      </w:r>
      <w:r w:rsidRPr="002C13F3">
        <w:rPr>
          <w:rFonts w:ascii="Century" w:hAnsi="Century"/>
          <w:sz w:val="24"/>
          <w:szCs w:val="24"/>
        </w:rPr>
        <w:t>servicios,</w:t>
      </w:r>
      <w:r w:rsidR="003126CE" w:rsidRPr="002C13F3">
        <w:rPr>
          <w:rFonts w:ascii="Century" w:hAnsi="Century"/>
          <w:sz w:val="24"/>
          <w:szCs w:val="24"/>
        </w:rPr>
        <w:t xml:space="preserve"> y capitales, provoca un desplazamiento de los mismos desde los E</w:t>
      </w:r>
      <w:r w:rsidR="00582B66" w:rsidRPr="002C13F3">
        <w:rPr>
          <w:rFonts w:ascii="Century" w:hAnsi="Century"/>
          <w:sz w:val="24"/>
          <w:szCs w:val="24"/>
        </w:rPr>
        <w:t>M</w:t>
      </w:r>
      <w:r w:rsidR="003126CE" w:rsidRPr="002C13F3">
        <w:rPr>
          <w:rFonts w:ascii="Century" w:hAnsi="Century"/>
          <w:sz w:val="24"/>
          <w:szCs w:val="24"/>
        </w:rPr>
        <w:t xml:space="preserve"> con mayor presión fiscal a los territorios con menor carga fiscal,</w:t>
      </w:r>
      <w:r w:rsidR="00582B66" w:rsidRPr="002C13F3">
        <w:rPr>
          <w:rFonts w:ascii="Century" w:hAnsi="Century"/>
          <w:sz w:val="24"/>
          <w:szCs w:val="24"/>
        </w:rPr>
        <w:t xml:space="preserve"> lo que ha obligado a desarrollar concretos </w:t>
      </w:r>
      <w:r w:rsidR="003126CE" w:rsidRPr="002C13F3">
        <w:rPr>
          <w:rFonts w:ascii="Century" w:hAnsi="Century"/>
          <w:sz w:val="24"/>
          <w:szCs w:val="24"/>
        </w:rPr>
        <w:t>instrumentos para reducir o atenuar este problema</w:t>
      </w:r>
      <w:r w:rsidR="00582B66" w:rsidRPr="002C13F3">
        <w:rPr>
          <w:rFonts w:ascii="Century" w:hAnsi="Century"/>
          <w:sz w:val="24"/>
          <w:szCs w:val="24"/>
        </w:rPr>
        <w:t>. Tales instrumentos son la armonización y</w:t>
      </w:r>
      <w:r w:rsidR="003126CE" w:rsidRPr="002C13F3">
        <w:rPr>
          <w:rFonts w:ascii="Century" w:hAnsi="Century"/>
          <w:sz w:val="24"/>
          <w:szCs w:val="24"/>
        </w:rPr>
        <w:t xml:space="preserve"> la coordinación fiscal de los sistemas tributarios de los </w:t>
      </w:r>
      <w:r w:rsidR="00ED5E2F">
        <w:rPr>
          <w:rFonts w:ascii="Century" w:hAnsi="Century"/>
          <w:sz w:val="24"/>
          <w:szCs w:val="24"/>
        </w:rPr>
        <w:t>EM</w:t>
      </w:r>
      <w:r w:rsidR="003126CE" w:rsidRPr="002C13F3">
        <w:rPr>
          <w:rStyle w:val="Refdenotaalpie"/>
          <w:rFonts w:ascii="Century" w:hAnsi="Century"/>
          <w:sz w:val="24"/>
          <w:szCs w:val="24"/>
        </w:rPr>
        <w:footnoteReference w:id="5"/>
      </w:r>
      <w:r w:rsidR="003126CE" w:rsidRPr="002C13F3">
        <w:rPr>
          <w:rFonts w:ascii="Century" w:hAnsi="Century"/>
          <w:sz w:val="24"/>
          <w:szCs w:val="24"/>
        </w:rPr>
        <w:t>.</w:t>
      </w:r>
    </w:p>
    <w:p w:rsidR="003126CE" w:rsidRPr="002C13F3" w:rsidRDefault="00582B66" w:rsidP="002D11BC">
      <w:pPr>
        <w:pStyle w:val="NormalWeb"/>
        <w:spacing w:before="0" w:beforeAutospacing="0" w:after="240" w:afterAutospacing="0" w:line="360" w:lineRule="auto"/>
        <w:jc w:val="both"/>
        <w:rPr>
          <w:rFonts w:ascii="Century" w:hAnsi="Century"/>
        </w:rPr>
      </w:pPr>
      <w:r w:rsidRPr="002C13F3">
        <w:rPr>
          <w:rFonts w:ascii="Century" w:hAnsi="Century"/>
        </w:rPr>
        <w:tab/>
        <w:t>L</w:t>
      </w:r>
      <w:r w:rsidR="003126CE" w:rsidRPr="002C13F3">
        <w:rPr>
          <w:rFonts w:ascii="Century" w:hAnsi="Century"/>
        </w:rPr>
        <w:t>a armonización fiscal</w:t>
      </w:r>
      <w:r w:rsidRPr="002C13F3">
        <w:rPr>
          <w:rFonts w:ascii="Century" w:hAnsi="Century"/>
        </w:rPr>
        <w:t xml:space="preserve"> </w:t>
      </w:r>
      <w:r w:rsidR="003126CE" w:rsidRPr="002C13F3">
        <w:rPr>
          <w:rFonts w:ascii="Century" w:hAnsi="Century"/>
        </w:rPr>
        <w:t>se define como “el proceso de acercamiento de los sistemas fiscales nacionales, necesario para corregir las distorsiones de naturaleza tributaria, que impiden la consecución de los objetivos de la U</w:t>
      </w:r>
      <w:r w:rsidR="00274139" w:rsidRPr="002C13F3">
        <w:rPr>
          <w:rFonts w:ascii="Century" w:hAnsi="Century"/>
        </w:rPr>
        <w:t xml:space="preserve">nión </w:t>
      </w:r>
      <w:r w:rsidR="003126CE" w:rsidRPr="002C13F3">
        <w:rPr>
          <w:rFonts w:ascii="Century" w:hAnsi="Century"/>
        </w:rPr>
        <w:t>E</w:t>
      </w:r>
      <w:r w:rsidR="00274139" w:rsidRPr="002C13F3">
        <w:rPr>
          <w:rFonts w:ascii="Century" w:hAnsi="Century"/>
        </w:rPr>
        <w:t>uropea</w:t>
      </w:r>
      <w:r w:rsidR="003126CE" w:rsidRPr="002C13F3">
        <w:rPr>
          <w:rFonts w:ascii="Century" w:hAnsi="Century"/>
        </w:rPr>
        <w:t xml:space="preserve"> y, en particular, que dificultan la realización del mercado interior común”</w:t>
      </w:r>
      <w:r w:rsidR="003126CE" w:rsidRPr="002C13F3">
        <w:rPr>
          <w:rStyle w:val="Refdenotaalpie"/>
          <w:rFonts w:ascii="Century" w:eastAsiaTheme="minorHAnsi" w:hAnsi="Century"/>
        </w:rPr>
        <w:footnoteReference w:id="6"/>
      </w:r>
      <w:r w:rsidR="003126CE" w:rsidRPr="002C13F3">
        <w:rPr>
          <w:rFonts w:ascii="Century" w:hAnsi="Century"/>
        </w:rPr>
        <w:t>.</w:t>
      </w:r>
      <w:r w:rsidR="00E35CE8" w:rsidRPr="002C13F3">
        <w:rPr>
          <w:rFonts w:ascii="Century" w:hAnsi="Century"/>
        </w:rPr>
        <w:t xml:space="preserve"> </w:t>
      </w:r>
      <w:r w:rsidR="00002CDB" w:rsidRPr="002C13F3">
        <w:rPr>
          <w:rFonts w:ascii="Century" w:hAnsi="Century"/>
        </w:rPr>
        <w:t>O dicho de otro modo</w:t>
      </w:r>
      <w:r w:rsidR="003126CE" w:rsidRPr="002C13F3">
        <w:rPr>
          <w:rFonts w:ascii="Century" w:hAnsi="Century"/>
        </w:rPr>
        <w:t>,</w:t>
      </w:r>
      <w:r w:rsidR="00C50603" w:rsidRPr="002C13F3">
        <w:rPr>
          <w:rFonts w:ascii="Century" w:hAnsi="Century"/>
        </w:rPr>
        <w:t xml:space="preserve"> la </w:t>
      </w:r>
      <w:r w:rsidR="00002CDB" w:rsidRPr="002C13F3">
        <w:rPr>
          <w:rFonts w:ascii="Century" w:hAnsi="Century"/>
        </w:rPr>
        <w:t>citada armonización</w:t>
      </w:r>
      <w:r w:rsidR="00C50603" w:rsidRPr="002C13F3">
        <w:rPr>
          <w:rFonts w:ascii="Century" w:hAnsi="Century"/>
        </w:rPr>
        <w:t xml:space="preserve"> </w:t>
      </w:r>
      <w:r w:rsidR="003126CE" w:rsidRPr="002C13F3">
        <w:rPr>
          <w:rFonts w:ascii="Century" w:hAnsi="Century"/>
        </w:rPr>
        <w:t xml:space="preserve">“se orientaría hacia la consecución de un proceso de ajuste de los distintos </w:t>
      </w:r>
      <w:r w:rsidR="003126CE" w:rsidRPr="002C13F3">
        <w:rPr>
          <w:rFonts w:ascii="Century" w:hAnsi="Century"/>
        </w:rPr>
        <w:lastRenderedPageBreak/>
        <w:t>sistemas tributarios con vistas a adaptarlos a los objetivos comunes del Mercado único, lo que conllevaría actuar sobre las causas de distorsión fiscal</w:t>
      </w:r>
      <w:r w:rsidR="00C50603" w:rsidRPr="002C13F3">
        <w:rPr>
          <w:rFonts w:ascii="Century" w:hAnsi="Century"/>
        </w:rPr>
        <w:t>,</w:t>
      </w:r>
      <w:r w:rsidR="003126CE" w:rsidRPr="002C13F3">
        <w:rPr>
          <w:rFonts w:ascii="Century" w:hAnsi="Century"/>
        </w:rPr>
        <w:t xml:space="preserve"> imponiendo la consiguiente cesión de soberanía de los Estados miembros”</w:t>
      </w:r>
      <w:r w:rsidR="003126CE" w:rsidRPr="002C13F3">
        <w:rPr>
          <w:rStyle w:val="Refdenotaalpie"/>
          <w:rFonts w:ascii="Century" w:eastAsiaTheme="minorHAnsi" w:hAnsi="Century"/>
        </w:rPr>
        <w:footnoteReference w:id="7"/>
      </w:r>
      <w:r w:rsidR="003126CE" w:rsidRPr="002C13F3">
        <w:rPr>
          <w:rFonts w:ascii="Century" w:hAnsi="Century"/>
        </w:rPr>
        <w:t>.</w:t>
      </w:r>
    </w:p>
    <w:p w:rsidR="003126CE" w:rsidRPr="002C13F3" w:rsidRDefault="002B3EDB" w:rsidP="002D11BC">
      <w:pPr>
        <w:pStyle w:val="NormalWeb"/>
        <w:spacing w:before="0" w:beforeAutospacing="0" w:after="240" w:afterAutospacing="0" w:line="360" w:lineRule="auto"/>
        <w:jc w:val="both"/>
        <w:rPr>
          <w:rFonts w:ascii="Century" w:hAnsi="Century"/>
        </w:rPr>
      </w:pPr>
      <w:r>
        <w:rPr>
          <w:rFonts w:ascii="Century" w:hAnsi="Century"/>
        </w:rPr>
        <w:tab/>
      </w:r>
      <w:r w:rsidR="00C50603" w:rsidRPr="002C13F3">
        <w:rPr>
          <w:rFonts w:ascii="Century" w:hAnsi="Century"/>
        </w:rPr>
        <w:t>L</w:t>
      </w:r>
      <w:r w:rsidR="003126CE" w:rsidRPr="002C13F3">
        <w:rPr>
          <w:rFonts w:ascii="Century" w:hAnsi="Century"/>
        </w:rPr>
        <w:t>a armonización</w:t>
      </w:r>
      <w:r w:rsidR="00C50603" w:rsidRPr="002C13F3">
        <w:rPr>
          <w:rFonts w:ascii="Century" w:hAnsi="Century"/>
        </w:rPr>
        <w:t xml:space="preserve"> fiscal</w:t>
      </w:r>
      <w:r w:rsidR="003126CE" w:rsidRPr="002C13F3">
        <w:rPr>
          <w:rFonts w:ascii="Century" w:hAnsi="Century"/>
        </w:rPr>
        <w:t xml:space="preserve"> es susceptible de adoptar </w:t>
      </w:r>
      <w:r w:rsidR="00C50603" w:rsidRPr="002C13F3">
        <w:rPr>
          <w:rFonts w:ascii="Century" w:hAnsi="Century"/>
        </w:rPr>
        <w:t>dos</w:t>
      </w:r>
      <w:r w:rsidR="003126CE" w:rsidRPr="002C13F3">
        <w:rPr>
          <w:rFonts w:ascii="Century" w:hAnsi="Century"/>
        </w:rPr>
        <w:t xml:space="preserve"> enfoques</w:t>
      </w:r>
      <w:r w:rsidR="00C50603" w:rsidRPr="00514069">
        <w:rPr>
          <w:rFonts w:asciiTheme="minorHAnsi" w:hAnsiTheme="minorHAnsi" w:cstheme="minorHAnsi"/>
        </w:rPr>
        <w:t>:</w:t>
      </w:r>
      <w:r w:rsidR="003126CE" w:rsidRPr="002C13F3">
        <w:rPr>
          <w:rFonts w:ascii="Century" w:hAnsi="Century"/>
        </w:rPr>
        <w:t xml:space="preserve"> el</w:t>
      </w:r>
      <w:r w:rsidR="00C50603" w:rsidRPr="002C13F3">
        <w:rPr>
          <w:rFonts w:ascii="Century" w:hAnsi="Century"/>
        </w:rPr>
        <w:t xml:space="preserve"> de</w:t>
      </w:r>
      <w:r w:rsidR="003126CE" w:rsidRPr="002C13F3">
        <w:rPr>
          <w:rFonts w:ascii="Century" w:hAnsi="Century"/>
        </w:rPr>
        <w:t xml:space="preserve"> igualación y el </w:t>
      </w:r>
      <w:r w:rsidR="00C50603" w:rsidRPr="002C13F3">
        <w:rPr>
          <w:rFonts w:ascii="Century" w:hAnsi="Century"/>
        </w:rPr>
        <w:t>d</w:t>
      </w:r>
      <w:r w:rsidR="003126CE" w:rsidRPr="002C13F3">
        <w:rPr>
          <w:rFonts w:ascii="Century" w:hAnsi="Century"/>
        </w:rPr>
        <w:t xml:space="preserve">e aproximación. </w:t>
      </w:r>
      <w:r w:rsidR="00C50603" w:rsidRPr="002C13F3">
        <w:rPr>
          <w:rFonts w:ascii="Century" w:hAnsi="Century"/>
        </w:rPr>
        <w:t>L</w:t>
      </w:r>
      <w:r w:rsidR="003126CE" w:rsidRPr="002C13F3">
        <w:rPr>
          <w:rFonts w:ascii="Century" w:hAnsi="Century"/>
        </w:rPr>
        <w:t>a insuficiencia de autoridad supranacional en la UE con competencias en política fiscal perjudica el enfoque</w:t>
      </w:r>
      <w:r w:rsidR="00C50603" w:rsidRPr="002C13F3">
        <w:rPr>
          <w:rFonts w:ascii="Century" w:hAnsi="Century"/>
        </w:rPr>
        <w:t xml:space="preserve"> de</w:t>
      </w:r>
      <w:r w:rsidR="003126CE" w:rsidRPr="002C13F3">
        <w:rPr>
          <w:rFonts w:ascii="Century" w:hAnsi="Century"/>
        </w:rPr>
        <w:t xml:space="preserve"> igualación, que </w:t>
      </w:r>
      <w:r w:rsidR="00C50603" w:rsidRPr="002C13F3">
        <w:rPr>
          <w:rFonts w:ascii="Century" w:hAnsi="Century"/>
        </w:rPr>
        <w:t>conllevaría</w:t>
      </w:r>
      <w:r w:rsidR="003126CE" w:rsidRPr="002C13F3">
        <w:rPr>
          <w:rFonts w:ascii="Century" w:hAnsi="Century"/>
        </w:rPr>
        <w:t xml:space="preserve"> la renuncia de los EM a su soberanía fiscal. Por este motivo, se ha manifestado que el proceso de armonización en el ámbito europeo es sólo posible desde un enfoque</w:t>
      </w:r>
      <w:r w:rsidR="00C50603" w:rsidRPr="002C13F3">
        <w:rPr>
          <w:rFonts w:ascii="Century" w:hAnsi="Century"/>
        </w:rPr>
        <w:t xml:space="preserve"> de</w:t>
      </w:r>
      <w:r w:rsidR="003126CE" w:rsidRPr="002C13F3">
        <w:rPr>
          <w:rFonts w:ascii="Century" w:hAnsi="Century"/>
        </w:rPr>
        <w:t xml:space="preserve"> aproximación</w:t>
      </w:r>
      <w:r w:rsidR="00C50603" w:rsidRPr="002C13F3">
        <w:rPr>
          <w:rFonts w:ascii="Century" w:hAnsi="Century"/>
        </w:rPr>
        <w:t>,</w:t>
      </w:r>
      <w:r w:rsidR="003126CE" w:rsidRPr="002C13F3">
        <w:rPr>
          <w:rFonts w:ascii="Century" w:hAnsi="Century"/>
        </w:rPr>
        <w:t xml:space="preserve"> con el objetivo de que se realice el acercamiento progresivo de los regímenes tributarios de los EM para corregir únicamente las distorsiones fiscales</w:t>
      </w:r>
      <w:r w:rsidR="00002CDB" w:rsidRPr="002C13F3">
        <w:rPr>
          <w:rFonts w:ascii="Century" w:hAnsi="Century"/>
        </w:rPr>
        <w:t xml:space="preserve"> que puedan producirse y</w:t>
      </w:r>
      <w:r w:rsidR="003126CE" w:rsidRPr="002C13F3">
        <w:rPr>
          <w:rFonts w:ascii="Century" w:hAnsi="Century"/>
        </w:rPr>
        <w:t xml:space="preserve"> que impidan o dificulten la realización d</w:t>
      </w:r>
      <w:r w:rsidR="00002CDB" w:rsidRPr="002C13F3">
        <w:rPr>
          <w:rFonts w:ascii="Century" w:hAnsi="Century"/>
        </w:rPr>
        <w:t>e un mercado común y, a la vez,</w:t>
      </w:r>
      <w:r w:rsidR="003126CE" w:rsidRPr="002C13F3">
        <w:rPr>
          <w:rFonts w:ascii="Century" w:hAnsi="Century"/>
        </w:rPr>
        <w:t xml:space="preserve"> asegure los márgenes de autonomía relacionados a las políticas fiscales de los EM</w:t>
      </w:r>
      <w:r w:rsidR="003126CE" w:rsidRPr="002C13F3">
        <w:rPr>
          <w:rStyle w:val="Refdenotaalpie"/>
          <w:rFonts w:ascii="Century" w:eastAsiaTheme="minorHAnsi" w:hAnsi="Century"/>
        </w:rPr>
        <w:footnoteReference w:id="8"/>
      </w:r>
      <w:r w:rsidR="003126CE" w:rsidRPr="002C13F3">
        <w:rPr>
          <w:rFonts w:ascii="Century" w:hAnsi="Century"/>
        </w:rPr>
        <w:t>.</w:t>
      </w:r>
    </w:p>
    <w:p w:rsidR="003126CE" w:rsidRPr="002C13F3" w:rsidRDefault="00C50603" w:rsidP="002D11BC">
      <w:pPr>
        <w:pStyle w:val="NormalWeb"/>
        <w:spacing w:before="0" w:beforeAutospacing="0" w:after="240" w:afterAutospacing="0" w:line="360" w:lineRule="auto"/>
        <w:jc w:val="both"/>
        <w:rPr>
          <w:rFonts w:ascii="Century" w:hAnsi="Century"/>
        </w:rPr>
      </w:pPr>
      <w:r w:rsidRPr="002C13F3">
        <w:rPr>
          <w:rFonts w:ascii="Century" w:hAnsi="Century"/>
        </w:rPr>
        <w:tab/>
      </w:r>
      <w:r w:rsidR="00FF0BEB">
        <w:rPr>
          <w:rFonts w:ascii="Century" w:hAnsi="Century"/>
        </w:rPr>
        <w:t>Pues bien</w:t>
      </w:r>
      <w:r w:rsidRPr="002C13F3">
        <w:rPr>
          <w:rFonts w:ascii="Century" w:hAnsi="Century"/>
        </w:rPr>
        <w:t>,</w:t>
      </w:r>
      <w:r w:rsidR="00220F12" w:rsidRPr="002C13F3">
        <w:rPr>
          <w:rFonts w:ascii="Century" w:hAnsi="Century"/>
        </w:rPr>
        <w:t xml:space="preserve"> dentro de los regímenes fiscales nacionales</w:t>
      </w:r>
      <w:r w:rsidRPr="002C13F3">
        <w:rPr>
          <w:rFonts w:ascii="Century" w:hAnsi="Century"/>
        </w:rPr>
        <w:t xml:space="preserve"> el proceso de armonización fiscal ha seguido una evolución desigual, avanzando considerablemente</w:t>
      </w:r>
      <w:r w:rsidR="003126CE" w:rsidRPr="002C13F3">
        <w:rPr>
          <w:rFonts w:ascii="Century" w:hAnsi="Century"/>
        </w:rPr>
        <w:t xml:space="preserve"> en lo que a los impuestos indirectos se refiere</w:t>
      </w:r>
      <w:r w:rsidRPr="002C13F3">
        <w:rPr>
          <w:rFonts w:ascii="Century" w:hAnsi="Century"/>
        </w:rPr>
        <w:t>,</w:t>
      </w:r>
      <w:r w:rsidR="003126CE" w:rsidRPr="002C13F3">
        <w:rPr>
          <w:rFonts w:ascii="Century" w:hAnsi="Century"/>
        </w:rPr>
        <w:t xml:space="preserve"> y muy poco en lo concerniente a los impuestos directos. Esto es debido a que uno de los objetivos que pretendía la, entonces, Comunidad Económica Europea</w:t>
      </w:r>
      <w:r w:rsidR="00DA5869">
        <w:rPr>
          <w:rFonts w:ascii="Century" w:hAnsi="Century"/>
        </w:rPr>
        <w:t xml:space="preserve"> (CEE)</w:t>
      </w:r>
      <w:r w:rsidR="003126CE" w:rsidRPr="002C13F3">
        <w:rPr>
          <w:rFonts w:ascii="Century" w:hAnsi="Century"/>
        </w:rPr>
        <w:t xml:space="preserve">, fue crear un Mercado Común pasando posteriormente a formar el llamado Mercado Interior Único. No obstante, durante el proceso de logro de este objetivo, los impuestos indirectos que se exigían en aquellos momentos en los EM complicaban su alcance, por lo que las autoridades comunitarias adoptaron nuevas medidas en el ámbito fiscal, siendo la armonización fiscal </w:t>
      </w:r>
      <w:r w:rsidR="009A1312">
        <w:rPr>
          <w:rFonts w:ascii="Century" w:hAnsi="Century"/>
        </w:rPr>
        <w:t xml:space="preserve">la medida más acorde para ello. </w:t>
      </w:r>
      <w:r w:rsidR="003023AB">
        <w:rPr>
          <w:rFonts w:ascii="Century" w:hAnsi="Century"/>
        </w:rPr>
        <w:t>En este sentido</w:t>
      </w:r>
      <w:r w:rsidR="009A1312">
        <w:rPr>
          <w:rFonts w:ascii="Century" w:hAnsi="Century"/>
        </w:rPr>
        <w:t xml:space="preserve">, </w:t>
      </w:r>
      <w:r w:rsidR="003126CE" w:rsidRPr="002C13F3">
        <w:rPr>
          <w:rFonts w:ascii="Century" w:hAnsi="Century"/>
        </w:rPr>
        <w:t xml:space="preserve">la </w:t>
      </w:r>
      <w:r w:rsidR="00D77EED">
        <w:rPr>
          <w:rFonts w:ascii="Century" w:hAnsi="Century"/>
        </w:rPr>
        <w:t>armonización</w:t>
      </w:r>
      <w:r w:rsidR="008240E3" w:rsidRPr="002C13F3">
        <w:rPr>
          <w:rFonts w:ascii="Century" w:hAnsi="Century"/>
        </w:rPr>
        <w:t xml:space="preserve"> </w:t>
      </w:r>
      <w:r w:rsidR="00C303E9" w:rsidRPr="002C13F3">
        <w:rPr>
          <w:rFonts w:ascii="Century" w:hAnsi="Century"/>
        </w:rPr>
        <w:t xml:space="preserve">no </w:t>
      </w:r>
      <w:r w:rsidR="008240E3" w:rsidRPr="002C13F3">
        <w:rPr>
          <w:rFonts w:ascii="Century" w:hAnsi="Century"/>
        </w:rPr>
        <w:t xml:space="preserve">ha sido </w:t>
      </w:r>
      <w:r w:rsidR="009A1312">
        <w:rPr>
          <w:rFonts w:ascii="Century" w:hAnsi="Century"/>
        </w:rPr>
        <w:t>considerada</w:t>
      </w:r>
      <w:r w:rsidR="003126CE" w:rsidRPr="002C13F3">
        <w:rPr>
          <w:rFonts w:ascii="Century" w:hAnsi="Century"/>
        </w:rPr>
        <w:t xml:space="preserve"> como </w:t>
      </w:r>
      <w:r w:rsidR="00D77EED">
        <w:rPr>
          <w:rFonts w:ascii="Century" w:hAnsi="Century"/>
        </w:rPr>
        <w:t>un objetivo final</w:t>
      </w:r>
      <w:r w:rsidR="003126CE" w:rsidRPr="002C13F3">
        <w:rPr>
          <w:rFonts w:ascii="Century" w:hAnsi="Century"/>
        </w:rPr>
        <w:t xml:space="preserve"> a alcanzar, sino </w:t>
      </w:r>
      <w:r w:rsidR="00595DD9">
        <w:rPr>
          <w:rFonts w:ascii="Century" w:hAnsi="Century"/>
        </w:rPr>
        <w:t xml:space="preserve">como </w:t>
      </w:r>
      <w:r w:rsidR="00C303E9" w:rsidRPr="002C13F3">
        <w:rPr>
          <w:rFonts w:ascii="Century" w:hAnsi="Century"/>
        </w:rPr>
        <w:t>u</w:t>
      </w:r>
      <w:r w:rsidR="003126CE" w:rsidRPr="002C13F3">
        <w:rPr>
          <w:rFonts w:ascii="Century" w:hAnsi="Century"/>
        </w:rPr>
        <w:t xml:space="preserve">n mecanismo que </w:t>
      </w:r>
      <w:r w:rsidR="00D77EED">
        <w:rPr>
          <w:rFonts w:ascii="Century" w:hAnsi="Century"/>
        </w:rPr>
        <w:lastRenderedPageBreak/>
        <w:t>posibilitaba</w:t>
      </w:r>
      <w:r w:rsidR="003126CE" w:rsidRPr="002C13F3">
        <w:rPr>
          <w:rFonts w:ascii="Century" w:hAnsi="Century"/>
        </w:rPr>
        <w:t xml:space="preserve"> </w:t>
      </w:r>
      <w:r w:rsidR="00595DD9">
        <w:rPr>
          <w:rFonts w:ascii="Century" w:hAnsi="Century"/>
        </w:rPr>
        <w:t xml:space="preserve">el </w:t>
      </w:r>
      <w:r w:rsidR="00D77EED">
        <w:rPr>
          <w:rFonts w:ascii="Century" w:hAnsi="Century"/>
        </w:rPr>
        <w:t>alcance</w:t>
      </w:r>
      <w:r w:rsidR="00595DD9">
        <w:rPr>
          <w:rFonts w:ascii="Century" w:hAnsi="Century"/>
        </w:rPr>
        <w:t xml:space="preserve"> </w:t>
      </w:r>
      <w:r w:rsidR="003126CE" w:rsidRPr="002C13F3">
        <w:rPr>
          <w:rFonts w:ascii="Century" w:hAnsi="Century"/>
        </w:rPr>
        <w:t>de los objetivos económicos perseguidos por las autoridades europeas</w:t>
      </w:r>
      <w:r w:rsidR="003126CE" w:rsidRPr="002C13F3">
        <w:rPr>
          <w:rStyle w:val="Refdenotaalpie"/>
          <w:rFonts w:ascii="Century" w:eastAsiaTheme="minorHAnsi" w:hAnsi="Century"/>
        </w:rPr>
        <w:footnoteReference w:id="9"/>
      </w:r>
      <w:r w:rsidR="003126CE" w:rsidRPr="002C13F3">
        <w:rPr>
          <w:rFonts w:ascii="Century" w:hAnsi="Century"/>
        </w:rPr>
        <w:t>.</w:t>
      </w:r>
    </w:p>
    <w:p w:rsidR="00002CDB" w:rsidRPr="002C13F3" w:rsidRDefault="003126CE" w:rsidP="002D11BC">
      <w:pPr>
        <w:pStyle w:val="NormalWeb"/>
        <w:spacing w:before="0" w:beforeAutospacing="0" w:after="240" w:afterAutospacing="0" w:line="360" w:lineRule="auto"/>
        <w:jc w:val="both"/>
        <w:rPr>
          <w:rFonts w:ascii="Century" w:hAnsi="Century"/>
        </w:rPr>
      </w:pPr>
      <w:r w:rsidRPr="002C13F3">
        <w:rPr>
          <w:rFonts w:ascii="Century" w:hAnsi="Century"/>
        </w:rPr>
        <w:tab/>
      </w:r>
      <w:r w:rsidR="00C303E9" w:rsidRPr="002C13F3">
        <w:rPr>
          <w:rFonts w:ascii="Century" w:hAnsi="Century"/>
        </w:rPr>
        <w:t>Por su parte, e</w:t>
      </w:r>
      <w:r w:rsidRPr="002C13F3">
        <w:rPr>
          <w:rFonts w:ascii="Century" w:hAnsi="Century"/>
        </w:rPr>
        <w:t>l T</w:t>
      </w:r>
      <w:r w:rsidR="008240E3" w:rsidRPr="002C13F3">
        <w:rPr>
          <w:rFonts w:ascii="Century" w:hAnsi="Century"/>
        </w:rPr>
        <w:t xml:space="preserve">ratado de </w:t>
      </w:r>
      <w:r w:rsidRPr="002C13F3">
        <w:rPr>
          <w:rFonts w:ascii="Century" w:hAnsi="Century"/>
        </w:rPr>
        <w:t>F</w:t>
      </w:r>
      <w:r w:rsidR="008240E3" w:rsidRPr="002C13F3">
        <w:rPr>
          <w:rFonts w:ascii="Century" w:hAnsi="Century"/>
        </w:rPr>
        <w:t xml:space="preserve">uncionamiento de la </w:t>
      </w:r>
      <w:r w:rsidRPr="002C13F3">
        <w:rPr>
          <w:rFonts w:ascii="Century" w:hAnsi="Century"/>
        </w:rPr>
        <w:t>U</w:t>
      </w:r>
      <w:r w:rsidR="008240E3" w:rsidRPr="002C13F3">
        <w:rPr>
          <w:rFonts w:ascii="Century" w:hAnsi="Century"/>
        </w:rPr>
        <w:t xml:space="preserve">nión </w:t>
      </w:r>
      <w:r w:rsidRPr="002C13F3">
        <w:rPr>
          <w:rFonts w:ascii="Century" w:hAnsi="Century"/>
        </w:rPr>
        <w:t>E</w:t>
      </w:r>
      <w:r w:rsidR="008240E3" w:rsidRPr="002C13F3">
        <w:rPr>
          <w:rFonts w:ascii="Century" w:hAnsi="Century"/>
        </w:rPr>
        <w:t>uropea (TFUE, en adelante)</w:t>
      </w:r>
      <w:r w:rsidRPr="002C13F3">
        <w:rPr>
          <w:rFonts w:ascii="Century" w:hAnsi="Century"/>
        </w:rPr>
        <w:t xml:space="preserve"> sólo regula la armonización fisca</w:t>
      </w:r>
      <w:r w:rsidR="00C303E9" w:rsidRPr="002C13F3">
        <w:rPr>
          <w:rFonts w:ascii="Century" w:hAnsi="Century"/>
        </w:rPr>
        <w:t>l para los impuestos indirectos</w:t>
      </w:r>
      <w:r w:rsidR="008240E3" w:rsidRPr="002C13F3">
        <w:rPr>
          <w:rFonts w:ascii="Century" w:hAnsi="Century"/>
        </w:rPr>
        <w:t>, estableciendo</w:t>
      </w:r>
      <w:r w:rsidR="00337E69">
        <w:rPr>
          <w:rFonts w:ascii="Century" w:hAnsi="Century"/>
        </w:rPr>
        <w:t xml:space="preserve"> en el </w:t>
      </w:r>
      <w:r w:rsidR="00337E69" w:rsidRPr="00C50588">
        <w:rPr>
          <w:rFonts w:ascii="Century" w:hAnsi="Century"/>
        </w:rPr>
        <w:t>artículo</w:t>
      </w:r>
      <w:r w:rsidR="00337E69" w:rsidRPr="00337E69">
        <w:rPr>
          <w:rFonts w:ascii="Century" w:hAnsi="Century"/>
          <w:color w:val="00B0F0"/>
        </w:rPr>
        <w:t xml:space="preserve"> </w:t>
      </w:r>
      <w:r w:rsidRPr="002C13F3">
        <w:rPr>
          <w:rFonts w:ascii="Century" w:hAnsi="Century"/>
        </w:rPr>
        <w:t>113 que el Consejo adoptará las disposiciones referentes a la armonización de las legislaciones relativas a los impuestos sobre el volumen de negocios, los impuestos sobre consumos específicos y otros impuestos indirectos, en la medida en que dicha armonización sea necesaria para garantizar el establecimiento y el funcionamiento del mercado interior y evitar las distorsiones de la competencia. Así, el art. 115 incluye una aproximación de las normas de los EM que puedan afectar a esta garantía</w:t>
      </w:r>
      <w:r w:rsidR="00D06A1E" w:rsidRPr="002C13F3">
        <w:rPr>
          <w:rStyle w:val="Refdenotaalpie"/>
          <w:rFonts w:ascii="Century" w:hAnsi="Century"/>
        </w:rPr>
        <w:footnoteReference w:id="10"/>
      </w:r>
      <w:r w:rsidRPr="002C13F3">
        <w:rPr>
          <w:rFonts w:ascii="Century" w:hAnsi="Century"/>
        </w:rPr>
        <w:t xml:space="preserve">. </w:t>
      </w:r>
    </w:p>
    <w:p w:rsidR="003126CE" w:rsidRPr="002C13F3" w:rsidRDefault="003126CE" w:rsidP="002D11BC">
      <w:pPr>
        <w:pStyle w:val="NormalWeb"/>
        <w:spacing w:before="0" w:beforeAutospacing="0" w:after="240" w:afterAutospacing="0" w:line="360" w:lineRule="auto"/>
        <w:jc w:val="both"/>
        <w:rPr>
          <w:rFonts w:ascii="Century" w:hAnsi="Century"/>
        </w:rPr>
      </w:pPr>
      <w:r w:rsidRPr="002C13F3">
        <w:rPr>
          <w:rFonts w:ascii="Century" w:hAnsi="Century"/>
        </w:rPr>
        <w:tab/>
        <w:t>Para conseguir los objetivos planteados e</w:t>
      </w:r>
      <w:r w:rsidR="00CA56E8" w:rsidRPr="002C13F3">
        <w:rPr>
          <w:rFonts w:ascii="Century" w:hAnsi="Century"/>
        </w:rPr>
        <w:t>n la imposición indirecta parecía</w:t>
      </w:r>
      <w:r w:rsidRPr="002C13F3">
        <w:rPr>
          <w:rFonts w:ascii="Century" w:hAnsi="Century"/>
        </w:rPr>
        <w:t xml:space="preserve"> resultar</w:t>
      </w:r>
      <w:r w:rsidR="00CA56E8" w:rsidRPr="002C13F3">
        <w:rPr>
          <w:rFonts w:ascii="Century" w:hAnsi="Century"/>
        </w:rPr>
        <w:t>, en definitiva,</w:t>
      </w:r>
      <w:r w:rsidRPr="002C13F3">
        <w:rPr>
          <w:rFonts w:ascii="Century" w:hAnsi="Century"/>
        </w:rPr>
        <w:t xml:space="preserve"> más aconsejable la adopci</w:t>
      </w:r>
      <w:r w:rsidR="00CA56E8" w:rsidRPr="002C13F3">
        <w:rPr>
          <w:rFonts w:ascii="Century" w:hAnsi="Century"/>
        </w:rPr>
        <w:t xml:space="preserve">ón de </w:t>
      </w:r>
      <w:r w:rsidRPr="002C13F3">
        <w:rPr>
          <w:rFonts w:ascii="Century" w:hAnsi="Century"/>
        </w:rPr>
        <w:t>medida</w:t>
      </w:r>
      <w:r w:rsidR="00CA56E8" w:rsidRPr="002C13F3">
        <w:rPr>
          <w:rFonts w:ascii="Century" w:hAnsi="Century"/>
        </w:rPr>
        <w:t>s</w:t>
      </w:r>
      <w:r w:rsidRPr="002C13F3">
        <w:rPr>
          <w:rFonts w:ascii="Century" w:hAnsi="Century"/>
        </w:rPr>
        <w:t xml:space="preserve"> de armonización fiscal</w:t>
      </w:r>
      <w:r w:rsidR="00CA56E8" w:rsidRPr="002C13F3">
        <w:rPr>
          <w:rFonts w:ascii="Century" w:hAnsi="Century"/>
        </w:rPr>
        <w:t xml:space="preserve">. </w:t>
      </w:r>
      <w:r w:rsidR="00D77EED">
        <w:rPr>
          <w:rFonts w:ascii="Century" w:hAnsi="Century"/>
        </w:rPr>
        <w:t>En este sentido, l</w:t>
      </w:r>
      <w:r w:rsidRPr="002C13F3">
        <w:rPr>
          <w:rFonts w:ascii="Century" w:hAnsi="Century"/>
        </w:rPr>
        <w:t>a imposición indirecta es</w:t>
      </w:r>
      <w:r w:rsidR="00CA56E8" w:rsidRPr="002C13F3">
        <w:rPr>
          <w:rFonts w:ascii="Century" w:hAnsi="Century"/>
        </w:rPr>
        <w:t xml:space="preserve"> así</w:t>
      </w:r>
      <w:r w:rsidRPr="002C13F3">
        <w:rPr>
          <w:rFonts w:ascii="Century" w:hAnsi="Century"/>
        </w:rPr>
        <w:t xml:space="preserve"> la base de</w:t>
      </w:r>
      <w:r w:rsidR="00CA56E8" w:rsidRPr="002C13F3">
        <w:rPr>
          <w:rFonts w:ascii="Century" w:hAnsi="Century"/>
        </w:rPr>
        <w:t xml:space="preserve"> actuación de</w:t>
      </w:r>
      <w:r w:rsidRPr="002C13F3">
        <w:rPr>
          <w:rFonts w:ascii="Century" w:hAnsi="Century"/>
        </w:rPr>
        <w:t xml:space="preserve"> la armonización fiscal en la UE, aunque en algunos EM se ha admitido el hecho de que puedan establecerse determinados impuestos indirectos que no están armonizados en el ámbito europeo. Al respecto, el impuesto central </w:t>
      </w:r>
      <w:r w:rsidR="00CA56E8" w:rsidRPr="002C13F3">
        <w:rPr>
          <w:rFonts w:ascii="Century" w:hAnsi="Century"/>
        </w:rPr>
        <w:t xml:space="preserve">objeto </w:t>
      </w:r>
      <w:r w:rsidRPr="002C13F3">
        <w:rPr>
          <w:rFonts w:ascii="Century" w:hAnsi="Century"/>
        </w:rPr>
        <w:t>de la armonizac</w:t>
      </w:r>
      <w:r w:rsidR="00DA1A70" w:rsidRPr="002C13F3">
        <w:rPr>
          <w:rFonts w:ascii="Century" w:hAnsi="Century"/>
        </w:rPr>
        <w:t>ión fiscal</w:t>
      </w:r>
      <w:r w:rsidR="008B390F">
        <w:rPr>
          <w:rFonts w:ascii="Century" w:hAnsi="Century"/>
        </w:rPr>
        <w:t xml:space="preserve"> ha sido </w:t>
      </w:r>
      <w:r w:rsidRPr="002C13F3">
        <w:rPr>
          <w:rFonts w:ascii="Century" w:hAnsi="Century"/>
        </w:rPr>
        <w:t>el I</w:t>
      </w:r>
      <w:r w:rsidR="00DA1A70" w:rsidRPr="002C13F3">
        <w:rPr>
          <w:rFonts w:ascii="Century" w:hAnsi="Century"/>
        </w:rPr>
        <w:t xml:space="preserve">mpuesto sobre el </w:t>
      </w:r>
      <w:r w:rsidRPr="002C13F3">
        <w:rPr>
          <w:rFonts w:ascii="Century" w:hAnsi="Century"/>
        </w:rPr>
        <w:t>V</w:t>
      </w:r>
      <w:r w:rsidR="00DA1A70" w:rsidRPr="002C13F3">
        <w:rPr>
          <w:rFonts w:ascii="Century" w:hAnsi="Century"/>
        </w:rPr>
        <w:t xml:space="preserve">alor </w:t>
      </w:r>
      <w:r w:rsidRPr="002C13F3">
        <w:rPr>
          <w:rFonts w:ascii="Century" w:hAnsi="Century"/>
        </w:rPr>
        <w:t>A</w:t>
      </w:r>
      <w:r w:rsidR="00DA1A70" w:rsidRPr="002C13F3">
        <w:rPr>
          <w:rFonts w:ascii="Century" w:hAnsi="Century"/>
        </w:rPr>
        <w:t>ñadido (IVA)</w:t>
      </w:r>
      <w:r w:rsidRPr="002C13F3">
        <w:rPr>
          <w:rFonts w:ascii="Century" w:hAnsi="Century"/>
        </w:rPr>
        <w:t>, siendo menor el grado de armonización en los impuestos especiales</w:t>
      </w:r>
      <w:r w:rsidRPr="002C13F3">
        <w:rPr>
          <w:rStyle w:val="Refdenotaalpie"/>
          <w:rFonts w:ascii="Century" w:eastAsiaTheme="minorHAnsi" w:hAnsi="Century"/>
        </w:rPr>
        <w:footnoteReference w:id="11"/>
      </w:r>
      <w:r w:rsidRPr="002C13F3">
        <w:rPr>
          <w:rFonts w:ascii="Century" w:hAnsi="Century"/>
        </w:rPr>
        <w:t>.</w:t>
      </w:r>
    </w:p>
    <w:p w:rsidR="00285918" w:rsidRPr="002C13F3" w:rsidRDefault="003126CE" w:rsidP="002D11BC">
      <w:pPr>
        <w:pStyle w:val="NormalWeb"/>
        <w:spacing w:before="0" w:beforeAutospacing="0" w:after="240" w:afterAutospacing="0" w:line="360" w:lineRule="auto"/>
        <w:jc w:val="both"/>
        <w:rPr>
          <w:rFonts w:ascii="Century" w:hAnsi="Century"/>
        </w:rPr>
      </w:pPr>
      <w:r w:rsidRPr="002C13F3">
        <w:rPr>
          <w:rFonts w:ascii="Century" w:hAnsi="Century"/>
        </w:rPr>
        <w:lastRenderedPageBreak/>
        <w:tab/>
      </w:r>
      <w:r w:rsidR="005D037F" w:rsidRPr="002C13F3">
        <w:rPr>
          <w:rFonts w:ascii="Century" w:hAnsi="Century"/>
        </w:rPr>
        <w:t>Como hemos dicho anteriormente</w:t>
      </w:r>
      <w:r w:rsidRPr="002C13F3">
        <w:rPr>
          <w:rFonts w:ascii="Century" w:hAnsi="Century"/>
        </w:rPr>
        <w:t xml:space="preserve">, la armonización fiscal no ha resultado ser un instrumento eficaz para la imposición directa, </w:t>
      </w:r>
      <w:r w:rsidR="005D037F" w:rsidRPr="002C13F3">
        <w:rPr>
          <w:rFonts w:ascii="Century" w:hAnsi="Century"/>
        </w:rPr>
        <w:t>limitándose</w:t>
      </w:r>
      <w:r w:rsidRPr="002C13F3">
        <w:rPr>
          <w:rFonts w:ascii="Century" w:hAnsi="Century"/>
        </w:rPr>
        <w:t xml:space="preserve"> a algunas Directivas reguladoras de las relaciones entre matrices y filiales, fusiones transfronterizas, pago de intereses y cánones entre las empresas de un grupo, así como de la fiscalidad de los productos del ahorro generadores de intereses, sin obviar la colaboración administrativa en términos de asistencia recaudatoria e intercambio de información</w:t>
      </w:r>
      <w:r w:rsidRPr="002C13F3">
        <w:rPr>
          <w:rStyle w:val="Refdenotaalpie"/>
          <w:rFonts w:ascii="Century" w:eastAsiaTheme="minorHAnsi" w:hAnsi="Century"/>
        </w:rPr>
        <w:footnoteReference w:id="12"/>
      </w:r>
      <w:r w:rsidRPr="002C13F3">
        <w:rPr>
          <w:rFonts w:ascii="Century" w:hAnsi="Century"/>
        </w:rPr>
        <w:t>.</w:t>
      </w:r>
      <w:r w:rsidR="005D037F" w:rsidRPr="002C13F3">
        <w:rPr>
          <w:rFonts w:ascii="Century" w:hAnsi="Century"/>
        </w:rPr>
        <w:t xml:space="preserve"> </w:t>
      </w:r>
    </w:p>
    <w:p w:rsidR="009C062A" w:rsidRPr="002C13F3" w:rsidRDefault="009C062A" w:rsidP="002D11BC">
      <w:pPr>
        <w:pStyle w:val="NormalWeb"/>
        <w:spacing w:before="0" w:beforeAutospacing="0" w:after="240" w:afterAutospacing="0" w:line="360" w:lineRule="auto"/>
        <w:jc w:val="both"/>
        <w:rPr>
          <w:rFonts w:ascii="Century" w:hAnsi="Century"/>
        </w:rPr>
      </w:pPr>
      <w:r w:rsidRPr="002C13F3">
        <w:rPr>
          <w:rFonts w:ascii="Century" w:hAnsi="Century"/>
        </w:rPr>
        <w:tab/>
        <w:t xml:space="preserve">POZA CID y SANTAELLA VALLEJO consideran que la armonización fiscal es mucho más limitada en el ámbito de la fiscalidad directa que en la indirecta, por varias </w:t>
      </w:r>
      <w:r w:rsidR="000F1B49">
        <w:rPr>
          <w:rFonts w:ascii="Century" w:hAnsi="Century"/>
        </w:rPr>
        <w:t>razones</w:t>
      </w:r>
      <w:r w:rsidRPr="002C13F3">
        <w:rPr>
          <w:rFonts w:ascii="Century" w:hAnsi="Century"/>
        </w:rPr>
        <w:t xml:space="preserve">. Así, vendría limitada por lo </w:t>
      </w:r>
      <w:r w:rsidR="00595DD9">
        <w:rPr>
          <w:rFonts w:ascii="Century" w:hAnsi="Century"/>
        </w:rPr>
        <w:t>regulado</w:t>
      </w:r>
      <w:r w:rsidRPr="002C13F3">
        <w:rPr>
          <w:rFonts w:ascii="Century" w:hAnsi="Century"/>
        </w:rPr>
        <w:t xml:space="preserve"> en el art. 115 del TFUE, que considera que la actuación comunitaria intervendrá solo cuando la fiscalidad incida directamente en el funcionamiento del mercado interior. Otras limitaciones derivarían de los principios de subsidiariedad y de proporcionalidad. Respecto al primero, dado que la fiscalidad directa es una competencia compartida con los EM, sólo en el caso de que éstos no puedan hacer frente a los objetivos establecidos en la imposición directa, debería y podría entonces intervenir la UE, es decir, este principio pretende determinar si son los EM los que deben actuar o, en cambio, debe ser la UE por ser la más pertinente para ello. Respecto al segundo, ninguna de las medidas adoptadas puede extralimitarse de lo necesario para alcanzar los objetivos previstos por el Tratado. En otras palabras, el contenido y el modo de la acción deben guardar proporción con la finalidad que se persigue</w:t>
      </w:r>
      <w:r w:rsidRPr="002C13F3">
        <w:rPr>
          <w:rStyle w:val="Refdenotaalpie"/>
          <w:rFonts w:ascii="Century" w:eastAsiaTheme="minorHAnsi" w:hAnsi="Century"/>
        </w:rPr>
        <w:footnoteReference w:id="13"/>
      </w:r>
      <w:r w:rsidRPr="002C13F3">
        <w:rPr>
          <w:rFonts w:ascii="Century" w:hAnsi="Century"/>
        </w:rPr>
        <w:t xml:space="preserve">. </w:t>
      </w:r>
    </w:p>
    <w:p w:rsidR="003126CE" w:rsidRPr="002C13F3" w:rsidRDefault="00285918" w:rsidP="002D11BC">
      <w:pPr>
        <w:pStyle w:val="NormalWeb"/>
        <w:spacing w:before="0" w:beforeAutospacing="0" w:after="240" w:afterAutospacing="0" w:line="360" w:lineRule="auto"/>
        <w:jc w:val="both"/>
        <w:rPr>
          <w:rFonts w:ascii="Century" w:hAnsi="Century"/>
        </w:rPr>
      </w:pPr>
      <w:r w:rsidRPr="002C13F3">
        <w:rPr>
          <w:rFonts w:ascii="Century" w:hAnsi="Century"/>
        </w:rPr>
        <w:tab/>
        <w:t xml:space="preserve">Por lo </w:t>
      </w:r>
      <w:r w:rsidR="000F1B49">
        <w:rPr>
          <w:rFonts w:ascii="Century" w:hAnsi="Century"/>
        </w:rPr>
        <w:t>expuesto,</w:t>
      </w:r>
      <w:r w:rsidRPr="002C13F3">
        <w:rPr>
          <w:rFonts w:ascii="Century" w:hAnsi="Century"/>
        </w:rPr>
        <w:t xml:space="preserve"> en el </w:t>
      </w:r>
      <w:r w:rsidR="003126CE" w:rsidRPr="002C13F3">
        <w:rPr>
          <w:rFonts w:ascii="Century" w:hAnsi="Century"/>
        </w:rPr>
        <w:t>ámbito</w:t>
      </w:r>
      <w:r w:rsidRPr="002C13F3">
        <w:rPr>
          <w:rFonts w:ascii="Century" w:hAnsi="Century"/>
        </w:rPr>
        <w:t xml:space="preserve"> de los impuestos directos</w:t>
      </w:r>
      <w:r w:rsidR="003126CE" w:rsidRPr="002C13F3">
        <w:rPr>
          <w:rFonts w:ascii="Century" w:hAnsi="Century"/>
        </w:rPr>
        <w:t xml:space="preserve"> se ha optado por</w:t>
      </w:r>
      <w:r w:rsidR="000F1B49">
        <w:rPr>
          <w:rFonts w:ascii="Century" w:hAnsi="Century"/>
        </w:rPr>
        <w:t xml:space="preserve"> el segundo de los instrumentos de </w:t>
      </w:r>
      <w:r w:rsidR="000F1B49" w:rsidRPr="002D11BC">
        <w:rPr>
          <w:rFonts w:ascii="Century" w:hAnsi="Century"/>
        </w:rPr>
        <w:t xml:space="preserve">contención </w:t>
      </w:r>
      <w:r w:rsidR="000F1B49">
        <w:rPr>
          <w:rFonts w:ascii="Century" w:hAnsi="Century"/>
        </w:rPr>
        <w:t>y control de la competencia perjudicial</w:t>
      </w:r>
      <w:r w:rsidR="000F1B49" w:rsidRPr="00E57CFF">
        <w:rPr>
          <w:rFonts w:asciiTheme="minorHAnsi" w:hAnsiTheme="minorHAnsi" w:cstheme="minorHAnsi"/>
        </w:rPr>
        <w:t xml:space="preserve">: </w:t>
      </w:r>
      <w:r w:rsidR="003126CE" w:rsidRPr="002C13F3">
        <w:rPr>
          <w:rFonts w:ascii="Century" w:hAnsi="Century"/>
        </w:rPr>
        <w:t>la coordinación fiscal</w:t>
      </w:r>
      <w:r w:rsidR="000F1B49">
        <w:rPr>
          <w:rFonts w:ascii="Century" w:hAnsi="Century"/>
        </w:rPr>
        <w:t>. La coordinación fiscal consiste</w:t>
      </w:r>
      <w:r w:rsidR="003126CE" w:rsidRPr="002C13F3">
        <w:rPr>
          <w:rFonts w:ascii="Century" w:hAnsi="Century"/>
        </w:rPr>
        <w:t xml:space="preserve"> en “adoptar medidas tendentes a eliminar las consecuencias de tales distorsiones sobre las condiciones de competencia, pero sin afectar a las causas, esto es, </w:t>
      </w:r>
      <w:r w:rsidR="003126CE" w:rsidRPr="002C13F3">
        <w:rPr>
          <w:rFonts w:ascii="Century" w:hAnsi="Century"/>
        </w:rPr>
        <w:lastRenderedPageBreak/>
        <w:t>respetando la diversidad de sistemas fiscales, de modo que cada Estado miembro conserve su soberanía fiscal”.</w:t>
      </w:r>
      <w:r w:rsidRPr="002C13F3">
        <w:rPr>
          <w:rFonts w:ascii="Century" w:hAnsi="Century"/>
        </w:rPr>
        <w:t xml:space="preserve"> </w:t>
      </w:r>
      <w:r w:rsidR="005D037F" w:rsidRPr="002C13F3">
        <w:rPr>
          <w:rFonts w:ascii="Century" w:hAnsi="Century"/>
        </w:rPr>
        <w:t>Así</w:t>
      </w:r>
      <w:r w:rsidR="003126CE" w:rsidRPr="002C13F3">
        <w:rPr>
          <w:rFonts w:ascii="Century" w:hAnsi="Century"/>
        </w:rPr>
        <w:t>, el interés de la UE por la coordinación</w:t>
      </w:r>
      <w:r w:rsidR="005D037F" w:rsidRPr="002C13F3">
        <w:rPr>
          <w:rFonts w:ascii="Century" w:hAnsi="Century"/>
        </w:rPr>
        <w:t xml:space="preserve"> fiscal</w:t>
      </w:r>
      <w:r w:rsidR="003126CE" w:rsidRPr="002C13F3">
        <w:rPr>
          <w:rFonts w:ascii="Century" w:hAnsi="Century"/>
        </w:rPr>
        <w:t xml:space="preserve"> </w:t>
      </w:r>
      <w:r w:rsidR="005D037F" w:rsidRPr="002C13F3">
        <w:rPr>
          <w:rFonts w:ascii="Century" w:hAnsi="Century"/>
        </w:rPr>
        <w:t>en materia de imposición directa</w:t>
      </w:r>
      <w:r w:rsidR="003126CE" w:rsidRPr="002C13F3">
        <w:rPr>
          <w:rFonts w:ascii="Century" w:hAnsi="Century"/>
        </w:rPr>
        <w:t xml:space="preserve"> como posible solución </w:t>
      </w:r>
      <w:r w:rsidR="005D037F" w:rsidRPr="002C13F3">
        <w:rPr>
          <w:rFonts w:ascii="Century" w:hAnsi="Century"/>
        </w:rPr>
        <w:t xml:space="preserve">a los problemas competenciales </w:t>
      </w:r>
      <w:r w:rsidR="003126CE" w:rsidRPr="002C13F3">
        <w:rPr>
          <w:rFonts w:ascii="Century" w:hAnsi="Century"/>
        </w:rPr>
        <w:t xml:space="preserve">ha sido cada vez mayor debido a las dificultades que la </w:t>
      </w:r>
      <w:r w:rsidR="005D037F" w:rsidRPr="002C13F3">
        <w:rPr>
          <w:rFonts w:ascii="Century" w:hAnsi="Century"/>
        </w:rPr>
        <w:t>a</w:t>
      </w:r>
      <w:r w:rsidR="003126CE" w:rsidRPr="002C13F3">
        <w:rPr>
          <w:rFonts w:ascii="Century" w:hAnsi="Century"/>
        </w:rPr>
        <w:t>rmonización tenía en este ámbito</w:t>
      </w:r>
      <w:r w:rsidR="003126CE" w:rsidRPr="002C13F3">
        <w:rPr>
          <w:rStyle w:val="Refdenotaalpie"/>
          <w:rFonts w:ascii="Century" w:eastAsiaTheme="minorHAnsi" w:hAnsi="Century"/>
        </w:rPr>
        <w:footnoteReference w:id="14"/>
      </w:r>
      <w:r w:rsidR="003126CE" w:rsidRPr="002C13F3">
        <w:rPr>
          <w:rFonts w:ascii="Century" w:hAnsi="Century"/>
        </w:rPr>
        <w:t>.</w:t>
      </w:r>
    </w:p>
    <w:p w:rsidR="003126CE" w:rsidRPr="002C13F3" w:rsidRDefault="00C72CA7" w:rsidP="002D11BC">
      <w:pPr>
        <w:pStyle w:val="NormalWeb"/>
        <w:spacing w:before="0" w:beforeAutospacing="0" w:after="240" w:afterAutospacing="0" w:line="360" w:lineRule="auto"/>
        <w:jc w:val="both"/>
        <w:rPr>
          <w:rFonts w:ascii="Century" w:hAnsi="Century"/>
        </w:rPr>
      </w:pPr>
      <w:r w:rsidRPr="002C13F3">
        <w:rPr>
          <w:rFonts w:ascii="Century" w:hAnsi="Century"/>
        </w:rPr>
        <w:tab/>
      </w:r>
      <w:r w:rsidR="00002CDB" w:rsidRPr="002C13F3">
        <w:rPr>
          <w:rFonts w:ascii="Century" w:hAnsi="Century"/>
        </w:rPr>
        <w:t>A</w:t>
      </w:r>
      <w:r w:rsidR="001B285D">
        <w:rPr>
          <w:rFonts w:ascii="Century" w:hAnsi="Century"/>
        </w:rPr>
        <w:t xml:space="preserve"> estos</w:t>
      </w:r>
      <w:r w:rsidR="00002CDB" w:rsidRPr="002C13F3">
        <w:rPr>
          <w:rFonts w:ascii="Century" w:hAnsi="Century"/>
        </w:rPr>
        <w:t xml:space="preserve"> efectos</w:t>
      </w:r>
      <w:r w:rsidR="003126CE" w:rsidRPr="002C13F3">
        <w:rPr>
          <w:rFonts w:ascii="Century" w:hAnsi="Century"/>
        </w:rPr>
        <w:t>, los EM desarrollan su potestad tributaria aplicando cada uno su propia normativa</w:t>
      </w:r>
      <w:r w:rsidR="00794FCC" w:rsidRPr="002C13F3">
        <w:rPr>
          <w:rFonts w:ascii="Century" w:hAnsi="Century"/>
        </w:rPr>
        <w:t xml:space="preserve">, </w:t>
      </w:r>
      <w:r w:rsidR="003126CE" w:rsidRPr="002C13F3">
        <w:rPr>
          <w:rFonts w:ascii="Century" w:hAnsi="Century"/>
        </w:rPr>
        <w:t>ajustada a las consid</w:t>
      </w:r>
      <w:r w:rsidR="00794FCC" w:rsidRPr="002C13F3">
        <w:rPr>
          <w:rFonts w:ascii="Century" w:hAnsi="Century"/>
        </w:rPr>
        <w:t>eraciones de su ámbito nacional. P</w:t>
      </w:r>
      <w:r w:rsidR="003126CE" w:rsidRPr="002C13F3">
        <w:rPr>
          <w:rFonts w:ascii="Century" w:hAnsi="Century"/>
        </w:rPr>
        <w:t xml:space="preserve">ero cuando traspasan esta aplicación al </w:t>
      </w:r>
      <w:r w:rsidR="00794FCC" w:rsidRPr="002C13F3">
        <w:rPr>
          <w:rFonts w:ascii="Century" w:hAnsi="Century"/>
        </w:rPr>
        <w:t>ámbito transfronterizo, es cuando</w:t>
      </w:r>
      <w:r w:rsidR="003126CE" w:rsidRPr="002C13F3">
        <w:rPr>
          <w:rFonts w:ascii="Century" w:hAnsi="Century"/>
        </w:rPr>
        <w:t xml:space="preserve"> se producen distorsiones entre los sistemas fis</w:t>
      </w:r>
      <w:r w:rsidR="00794FCC" w:rsidRPr="002C13F3">
        <w:rPr>
          <w:rFonts w:ascii="Century" w:hAnsi="Century"/>
        </w:rPr>
        <w:t>cales nacionales, optándose</w:t>
      </w:r>
      <w:r w:rsidR="003126CE" w:rsidRPr="002C13F3">
        <w:rPr>
          <w:rFonts w:ascii="Century" w:hAnsi="Century"/>
        </w:rPr>
        <w:t xml:space="preserve"> por la coordinación entre ellos que puede alcanzarse a través del establecimiento de convenios entre Estados. El </w:t>
      </w:r>
      <w:r w:rsidR="00C86F88" w:rsidRPr="002C13F3">
        <w:rPr>
          <w:rFonts w:ascii="Century" w:hAnsi="Century"/>
        </w:rPr>
        <w:t>Tribunal de Justicia de la Unión Europea (</w:t>
      </w:r>
      <w:r w:rsidR="003126CE" w:rsidRPr="002C13F3">
        <w:rPr>
          <w:rFonts w:ascii="Century" w:hAnsi="Century"/>
        </w:rPr>
        <w:t>TJUE</w:t>
      </w:r>
      <w:r w:rsidR="00C86F88" w:rsidRPr="002C13F3">
        <w:rPr>
          <w:rFonts w:ascii="Century" w:hAnsi="Century"/>
        </w:rPr>
        <w:t>)</w:t>
      </w:r>
      <w:r w:rsidR="003126CE" w:rsidRPr="002C13F3">
        <w:rPr>
          <w:rFonts w:ascii="Century" w:hAnsi="Century"/>
        </w:rPr>
        <w:t xml:space="preserve"> ratifica que la imposición directa es competencia de los EM limitando su poder con el respeto al Derecho de la UE</w:t>
      </w:r>
      <w:r w:rsidR="003126CE" w:rsidRPr="002C13F3">
        <w:rPr>
          <w:rStyle w:val="Refdenotaalpie"/>
          <w:rFonts w:ascii="Century" w:eastAsiaTheme="minorHAnsi" w:hAnsi="Century"/>
        </w:rPr>
        <w:footnoteReference w:id="15"/>
      </w:r>
      <w:r w:rsidR="003126CE" w:rsidRPr="002C13F3">
        <w:rPr>
          <w:rFonts w:ascii="Century" w:hAnsi="Century"/>
        </w:rPr>
        <w:t>.</w:t>
      </w:r>
    </w:p>
    <w:p w:rsidR="003126CE" w:rsidRPr="002C13F3" w:rsidRDefault="003126CE" w:rsidP="002D11BC">
      <w:pPr>
        <w:pStyle w:val="NormalWeb"/>
        <w:spacing w:before="0" w:beforeAutospacing="0" w:after="240" w:afterAutospacing="0" w:line="360" w:lineRule="auto"/>
        <w:jc w:val="both"/>
        <w:rPr>
          <w:rFonts w:ascii="Century" w:hAnsi="Century"/>
        </w:rPr>
      </w:pPr>
      <w:r w:rsidRPr="002C13F3">
        <w:rPr>
          <w:rFonts w:ascii="Century" w:hAnsi="Century"/>
        </w:rPr>
        <w:tab/>
        <w:t>La Com</w:t>
      </w:r>
      <w:r w:rsidR="00EF6622" w:rsidRPr="002C13F3">
        <w:rPr>
          <w:rFonts w:ascii="Century" w:hAnsi="Century"/>
        </w:rPr>
        <w:t>isión</w:t>
      </w:r>
      <w:r w:rsidR="001B285D">
        <w:rPr>
          <w:rFonts w:ascii="Century" w:hAnsi="Century"/>
        </w:rPr>
        <w:t xml:space="preserve"> Europea</w:t>
      </w:r>
      <w:r w:rsidR="00EF6622" w:rsidRPr="002C13F3">
        <w:rPr>
          <w:rFonts w:ascii="Century" w:hAnsi="Century"/>
        </w:rPr>
        <w:t xml:space="preserve"> en la Comunicación</w:t>
      </w:r>
      <w:r w:rsidRPr="002C13F3">
        <w:rPr>
          <w:rFonts w:ascii="Century" w:hAnsi="Century"/>
        </w:rPr>
        <w:t xml:space="preserve"> “La coordinación de los sistemas de imposición directa de los Estados miembros en el mercado interior” [COM (2006) 823 final]</w:t>
      </w:r>
      <w:r w:rsidR="001B285D">
        <w:rPr>
          <w:rFonts w:ascii="Century" w:hAnsi="Century"/>
        </w:rPr>
        <w:t>,</w:t>
      </w:r>
      <w:r w:rsidRPr="002C13F3">
        <w:rPr>
          <w:rFonts w:ascii="Century" w:hAnsi="Century"/>
        </w:rPr>
        <w:t xml:space="preserve"> establece que la coordinación parte de los sistema</w:t>
      </w:r>
      <w:r w:rsidR="00EF6622" w:rsidRPr="002C13F3">
        <w:rPr>
          <w:rFonts w:ascii="Century" w:hAnsi="Century"/>
        </w:rPr>
        <w:t>s</w:t>
      </w:r>
      <w:r w:rsidRPr="002C13F3">
        <w:rPr>
          <w:rFonts w:ascii="Century" w:hAnsi="Century"/>
        </w:rPr>
        <w:t xml:space="preserve"> nacionales para hacerlos compatibles entre sí</w:t>
      </w:r>
      <w:r w:rsidR="001B285D">
        <w:rPr>
          <w:rFonts w:ascii="Century" w:hAnsi="Century"/>
        </w:rPr>
        <w:t>,</w:t>
      </w:r>
      <w:r w:rsidRPr="002C13F3">
        <w:rPr>
          <w:rFonts w:ascii="Century" w:hAnsi="Century"/>
        </w:rPr>
        <w:t xml:space="preserve"> y con el Trat</w:t>
      </w:r>
      <w:r w:rsidR="00EF6622" w:rsidRPr="002C13F3">
        <w:rPr>
          <w:rFonts w:ascii="Century" w:hAnsi="Century"/>
        </w:rPr>
        <w:t xml:space="preserve">ado. El objetivo fundamental </w:t>
      </w:r>
      <w:r w:rsidRPr="002C13F3">
        <w:rPr>
          <w:rFonts w:ascii="Century" w:hAnsi="Century"/>
        </w:rPr>
        <w:t xml:space="preserve">es conseguir que dichos sistemas puedan actuar de manera conjunta sin discrepancias, y no sustituirlos por un régimen </w:t>
      </w:r>
      <w:r w:rsidRPr="002C13F3">
        <w:rPr>
          <w:rFonts w:ascii="Century" w:hAnsi="Century"/>
        </w:rPr>
        <w:lastRenderedPageBreak/>
        <w:t>comunitario uniforme.</w:t>
      </w:r>
      <w:r w:rsidR="00B11D7A" w:rsidRPr="002C13F3">
        <w:rPr>
          <w:rFonts w:ascii="Century" w:hAnsi="Century"/>
        </w:rPr>
        <w:t xml:space="preserve"> </w:t>
      </w:r>
      <w:r w:rsidRPr="002C13F3">
        <w:rPr>
          <w:rFonts w:ascii="Century" w:hAnsi="Century"/>
        </w:rPr>
        <w:t>Esta C</w:t>
      </w:r>
      <w:r w:rsidR="00EF6622" w:rsidRPr="002C13F3">
        <w:rPr>
          <w:rFonts w:ascii="Century" w:hAnsi="Century"/>
        </w:rPr>
        <w:t>omunicación pretende</w:t>
      </w:r>
      <w:r w:rsidRPr="002C13F3">
        <w:rPr>
          <w:rFonts w:ascii="Century" w:hAnsi="Century"/>
        </w:rPr>
        <w:t xml:space="preserve"> coordinar y mejorar el funcionamiento de los sistemas nacionales de imposición directa en la UE, asegurar que los regímenes fiscales nacionales respeten el Derecho comunitario, eliminar el fraude fiscal que trata de eludir la imposición tributaria</w:t>
      </w:r>
      <w:r w:rsidR="00C15601">
        <w:rPr>
          <w:rFonts w:ascii="Century" w:hAnsi="Century"/>
        </w:rPr>
        <w:t>,</w:t>
      </w:r>
      <w:r w:rsidRPr="002C13F3">
        <w:rPr>
          <w:rFonts w:ascii="Century" w:hAnsi="Century"/>
        </w:rPr>
        <w:t xml:space="preserve"> y garantizar la reducción de los costes que puedan derivarse de la obligación de tributar por varios sistemas fiscales.</w:t>
      </w:r>
    </w:p>
    <w:p w:rsidR="003126CE" w:rsidRPr="002C13F3" w:rsidRDefault="003126CE" w:rsidP="002D11BC">
      <w:pPr>
        <w:pStyle w:val="NormalWeb"/>
        <w:spacing w:before="0" w:beforeAutospacing="0" w:after="240" w:afterAutospacing="0" w:line="360" w:lineRule="auto"/>
        <w:jc w:val="both"/>
        <w:rPr>
          <w:rFonts w:ascii="Century" w:hAnsi="Century"/>
        </w:rPr>
      </w:pPr>
      <w:r w:rsidRPr="002C13F3">
        <w:rPr>
          <w:rFonts w:ascii="Century" w:hAnsi="Century"/>
        </w:rPr>
        <w:tab/>
        <w:t>El proceso de coordinación de la fiscalidad directa se ha desarrollado</w:t>
      </w:r>
      <w:r w:rsidR="00C15601">
        <w:rPr>
          <w:rFonts w:ascii="Century" w:hAnsi="Century"/>
        </w:rPr>
        <w:t xml:space="preserve"> como consecuencia</w:t>
      </w:r>
      <w:r w:rsidRPr="002C13F3">
        <w:rPr>
          <w:rFonts w:ascii="Century" w:hAnsi="Century"/>
        </w:rPr>
        <w:t xml:space="preserve"> de varias</w:t>
      </w:r>
      <w:r w:rsidR="00EF6622" w:rsidRPr="002C13F3">
        <w:rPr>
          <w:rFonts w:ascii="Century" w:hAnsi="Century"/>
        </w:rPr>
        <w:t xml:space="preserve"> </w:t>
      </w:r>
      <w:r w:rsidRPr="002C13F3">
        <w:rPr>
          <w:rFonts w:ascii="Century" w:hAnsi="Century"/>
        </w:rPr>
        <w:t xml:space="preserve">sentencias del antiguo Tribunal de Justicia de las Comunidades Europeas </w:t>
      </w:r>
      <w:r w:rsidR="00B11D7A" w:rsidRPr="002C13F3">
        <w:rPr>
          <w:rFonts w:ascii="Century" w:hAnsi="Century"/>
        </w:rPr>
        <w:t>(TJCE)</w:t>
      </w:r>
      <w:r w:rsidR="00C15601">
        <w:rPr>
          <w:rFonts w:ascii="Century" w:hAnsi="Century"/>
        </w:rPr>
        <w:t>,</w:t>
      </w:r>
      <w:r w:rsidR="00B11D7A" w:rsidRPr="002C13F3">
        <w:rPr>
          <w:rFonts w:ascii="Century" w:hAnsi="Century"/>
        </w:rPr>
        <w:t xml:space="preserve"> </w:t>
      </w:r>
      <w:r w:rsidRPr="002C13F3">
        <w:rPr>
          <w:rFonts w:ascii="Century" w:hAnsi="Century"/>
        </w:rPr>
        <w:t xml:space="preserve">que establecían que las normativas de los EM no respetaban las exigencias del Tratado en determinados ámbitos. </w:t>
      </w:r>
      <w:r w:rsidR="00C15601">
        <w:rPr>
          <w:rFonts w:ascii="Century" w:hAnsi="Century"/>
        </w:rPr>
        <w:t>Al respecto</w:t>
      </w:r>
      <w:r w:rsidRPr="002C13F3">
        <w:rPr>
          <w:rFonts w:ascii="Century" w:hAnsi="Century"/>
        </w:rPr>
        <w:t xml:space="preserve">, la </w:t>
      </w:r>
      <w:r w:rsidR="004143BC">
        <w:rPr>
          <w:rFonts w:ascii="Century" w:hAnsi="Century"/>
        </w:rPr>
        <w:t xml:space="preserve">citada </w:t>
      </w:r>
      <w:r w:rsidRPr="002C13F3">
        <w:rPr>
          <w:rFonts w:ascii="Century" w:hAnsi="Century"/>
        </w:rPr>
        <w:t>Comisión consideró el hecho de que la coordinació</w:t>
      </w:r>
      <w:r w:rsidR="004143BC">
        <w:rPr>
          <w:rFonts w:ascii="Century" w:hAnsi="Century"/>
        </w:rPr>
        <w:t>n podía ser un mecanismo eficaz, aprobándose</w:t>
      </w:r>
      <w:r w:rsidRPr="002C13F3">
        <w:rPr>
          <w:rFonts w:ascii="Century" w:hAnsi="Century"/>
        </w:rPr>
        <w:t xml:space="preserve"> varias Comunicaciones </w:t>
      </w:r>
      <w:r w:rsidR="004143BC">
        <w:rPr>
          <w:rFonts w:ascii="Century" w:hAnsi="Century"/>
        </w:rPr>
        <w:t>reguladoras de este instrumento</w:t>
      </w:r>
      <w:r w:rsidRPr="002C13F3">
        <w:rPr>
          <w:rStyle w:val="Refdenotaalpie"/>
          <w:rFonts w:ascii="Century" w:eastAsiaTheme="minorHAnsi" w:hAnsi="Century"/>
        </w:rPr>
        <w:footnoteReference w:id="16"/>
      </w:r>
      <w:r w:rsidRPr="002C13F3">
        <w:rPr>
          <w:rFonts w:ascii="Century" w:hAnsi="Century"/>
        </w:rPr>
        <w:t xml:space="preserve">. </w:t>
      </w:r>
    </w:p>
    <w:p w:rsidR="003126CE" w:rsidRPr="002C13F3" w:rsidRDefault="003126CE" w:rsidP="002D11BC">
      <w:pPr>
        <w:pStyle w:val="NormalWeb"/>
        <w:spacing w:before="0" w:beforeAutospacing="0" w:after="240" w:afterAutospacing="0" w:line="360" w:lineRule="auto"/>
        <w:jc w:val="both"/>
        <w:rPr>
          <w:rFonts w:ascii="Century" w:hAnsi="Century"/>
        </w:rPr>
      </w:pPr>
      <w:r w:rsidRPr="002C13F3">
        <w:rPr>
          <w:rFonts w:ascii="Century" w:hAnsi="Century"/>
        </w:rPr>
        <w:tab/>
      </w:r>
      <w:r w:rsidR="004143BC">
        <w:rPr>
          <w:rFonts w:ascii="Century" w:hAnsi="Century"/>
        </w:rPr>
        <w:t>L</w:t>
      </w:r>
      <w:r w:rsidRPr="002C13F3">
        <w:rPr>
          <w:rFonts w:ascii="Century" w:hAnsi="Century"/>
        </w:rPr>
        <w:t>a primera actuación de coordinación que se desarrolló fue en el ámbito de la fiscalidad de salida. La Comunicación</w:t>
      </w:r>
      <w:r w:rsidR="00EF5B74">
        <w:rPr>
          <w:rFonts w:ascii="Century" w:hAnsi="Century"/>
        </w:rPr>
        <w:t xml:space="preserve"> de la Comisión Europea</w:t>
      </w:r>
      <w:r w:rsidRPr="002C13F3">
        <w:rPr>
          <w:rFonts w:ascii="Century" w:hAnsi="Century"/>
        </w:rPr>
        <w:t xml:space="preserve"> “Imposición de salida y necesidad de coordinación de las políticas tributarias de los Estados miembros” [COM (2006) 825 final]</w:t>
      </w:r>
      <w:r w:rsidR="004143BC">
        <w:rPr>
          <w:rFonts w:ascii="Century" w:hAnsi="Century"/>
        </w:rPr>
        <w:t>,</w:t>
      </w:r>
      <w:r w:rsidRPr="002C13F3">
        <w:rPr>
          <w:rFonts w:ascii="Century" w:hAnsi="Century"/>
        </w:rPr>
        <w:t xml:space="preserve"> establece propuestas de coordinación de las normas de los EM en materia de imposición de salida</w:t>
      </w:r>
      <w:r w:rsidR="004143BC">
        <w:rPr>
          <w:rFonts w:ascii="Century" w:hAnsi="Century"/>
        </w:rPr>
        <w:t>,</w:t>
      </w:r>
      <w:r w:rsidRPr="002C13F3">
        <w:rPr>
          <w:rFonts w:ascii="Century" w:hAnsi="Century"/>
        </w:rPr>
        <w:t xml:space="preserve"> para eliminar la discriminación o la doble imposición, </w:t>
      </w:r>
      <w:r w:rsidR="004143BC">
        <w:rPr>
          <w:rFonts w:ascii="Century" w:hAnsi="Century"/>
        </w:rPr>
        <w:t>y para</w:t>
      </w:r>
      <w:r w:rsidRPr="002C13F3">
        <w:rPr>
          <w:rFonts w:ascii="Century" w:hAnsi="Century"/>
        </w:rPr>
        <w:t xml:space="preserve"> que los sistemas fiscales nacionales puedan operar conjuntamente sin fr</w:t>
      </w:r>
      <w:r w:rsidR="004143BC">
        <w:rPr>
          <w:rFonts w:ascii="Century" w:hAnsi="Century"/>
        </w:rPr>
        <w:t>icciones. L</w:t>
      </w:r>
      <w:r w:rsidRPr="002C13F3">
        <w:rPr>
          <w:rFonts w:ascii="Century" w:hAnsi="Century"/>
        </w:rPr>
        <w:t>a citada actuación tuvo su origen en la</w:t>
      </w:r>
      <w:r w:rsidR="00BF7ED0">
        <w:rPr>
          <w:rFonts w:ascii="Century" w:hAnsi="Century"/>
        </w:rPr>
        <w:t xml:space="preserve"> </w:t>
      </w:r>
      <w:r w:rsidR="00BF7ED0" w:rsidRPr="00795091">
        <w:rPr>
          <w:rFonts w:ascii="Century" w:hAnsi="Century"/>
        </w:rPr>
        <w:t>Sentencia del Tribunal de Justicia de las Comunidades Europeas</w:t>
      </w:r>
      <w:r w:rsidRPr="00795091">
        <w:rPr>
          <w:rFonts w:ascii="Century" w:hAnsi="Century"/>
        </w:rPr>
        <w:t xml:space="preserve"> </w:t>
      </w:r>
      <w:r w:rsidR="00BF7ED0" w:rsidRPr="00795091">
        <w:rPr>
          <w:rFonts w:ascii="Century" w:hAnsi="Century"/>
        </w:rPr>
        <w:t>(</w:t>
      </w:r>
      <w:r w:rsidRPr="00795091">
        <w:rPr>
          <w:rFonts w:ascii="Century" w:hAnsi="Century"/>
        </w:rPr>
        <w:t>STJCE</w:t>
      </w:r>
      <w:r w:rsidR="00BF7ED0" w:rsidRPr="00795091">
        <w:rPr>
          <w:rFonts w:ascii="Century" w:hAnsi="Century"/>
        </w:rPr>
        <w:t>, en adelante)</w:t>
      </w:r>
      <w:r w:rsidRPr="002C13F3">
        <w:rPr>
          <w:rFonts w:ascii="Century" w:hAnsi="Century"/>
        </w:rPr>
        <w:t xml:space="preserve"> de 11 de marzo de 2004, asunto C-9/02 y la STJCE de 7 de septiembre de 2006, asunto C-470/04, en donde el Tribunal considera que los EM que permiten gravar rentas por el sólo hecho de que el contribuyente se desplace a otro Estado miembro, que de otra manera no tributarían, se oponen a la libertad de establecimiento prevista en el art. 49 del TFUE.</w:t>
      </w:r>
    </w:p>
    <w:p w:rsidR="003126CE" w:rsidRPr="002C13F3" w:rsidRDefault="003126CE" w:rsidP="002D11BC">
      <w:pPr>
        <w:pStyle w:val="Default"/>
        <w:spacing w:after="240" w:line="360" w:lineRule="auto"/>
        <w:jc w:val="both"/>
        <w:rPr>
          <w:rFonts w:ascii="Century" w:hAnsi="Century"/>
          <w:color w:val="auto"/>
        </w:rPr>
      </w:pPr>
      <w:r w:rsidRPr="002C13F3">
        <w:rPr>
          <w:rFonts w:ascii="Century" w:hAnsi="Century"/>
          <w:color w:val="auto"/>
        </w:rPr>
        <w:lastRenderedPageBreak/>
        <w:tab/>
      </w:r>
      <w:r w:rsidR="004143BC">
        <w:rPr>
          <w:rFonts w:ascii="Century" w:hAnsi="Century"/>
          <w:color w:val="auto"/>
        </w:rPr>
        <w:t>Con posterioridad,</w:t>
      </w:r>
      <w:r w:rsidRPr="002C13F3">
        <w:rPr>
          <w:rFonts w:ascii="Century" w:hAnsi="Century"/>
          <w:color w:val="auto"/>
        </w:rPr>
        <w:t xml:space="preserve"> la Comunicación</w:t>
      </w:r>
      <w:r w:rsidR="00EF5B74">
        <w:rPr>
          <w:rFonts w:ascii="Century" w:hAnsi="Century"/>
          <w:color w:val="auto"/>
        </w:rPr>
        <w:t xml:space="preserve"> de la Comisión Europea</w:t>
      </w:r>
      <w:r w:rsidRPr="002C13F3">
        <w:rPr>
          <w:rFonts w:ascii="Century" w:hAnsi="Century"/>
          <w:color w:val="auto"/>
        </w:rPr>
        <w:t xml:space="preserve"> “Consideración fiscal de las pérdidas en un contexto transfronterizo” [COM (2006) 824 final]</w:t>
      </w:r>
      <w:r w:rsidR="004143BC">
        <w:rPr>
          <w:rFonts w:ascii="Century" w:hAnsi="Century"/>
          <w:color w:val="auto"/>
        </w:rPr>
        <w:t>, se refirió</w:t>
      </w:r>
      <w:r w:rsidRPr="002C13F3">
        <w:rPr>
          <w:rFonts w:ascii="Century" w:hAnsi="Century"/>
          <w:color w:val="auto"/>
        </w:rPr>
        <w:t xml:space="preserve"> a la coordinación de los sistemas fiscales de los EM en materia de compensación transfronteriza de las pérdidas sufridas por l</w:t>
      </w:r>
      <w:r w:rsidR="004143BC">
        <w:rPr>
          <w:rFonts w:ascii="Century" w:hAnsi="Century"/>
          <w:color w:val="auto"/>
        </w:rPr>
        <w:t>as empresas. La sentencia referente</w:t>
      </w:r>
      <w:r w:rsidRPr="002C13F3">
        <w:rPr>
          <w:rFonts w:ascii="Century" w:hAnsi="Century"/>
          <w:color w:val="auto"/>
        </w:rPr>
        <w:t xml:space="preserve"> en esta materia es la ST</w:t>
      </w:r>
      <w:r w:rsidR="00EE305E">
        <w:rPr>
          <w:rFonts w:ascii="Century" w:hAnsi="Century"/>
          <w:color w:val="auto"/>
        </w:rPr>
        <w:t>J</w:t>
      </w:r>
      <w:r w:rsidRPr="002C13F3">
        <w:rPr>
          <w:rFonts w:ascii="Century" w:hAnsi="Century"/>
          <w:color w:val="auto"/>
        </w:rPr>
        <w:t>CE de 13 de diciembre de 2005, asunto C-446/03.</w:t>
      </w:r>
    </w:p>
    <w:p w:rsidR="003126CE" w:rsidRPr="002C13F3" w:rsidRDefault="004143BC" w:rsidP="002D11BC">
      <w:pPr>
        <w:pStyle w:val="Default"/>
        <w:spacing w:after="240" w:line="360" w:lineRule="auto"/>
        <w:jc w:val="both"/>
        <w:rPr>
          <w:rFonts w:ascii="Century" w:hAnsi="Century" w:cs="MST T 31c 5d 4"/>
        </w:rPr>
      </w:pPr>
      <w:r>
        <w:rPr>
          <w:rFonts w:ascii="Century" w:hAnsi="Century"/>
          <w:color w:val="auto"/>
        </w:rPr>
        <w:tab/>
        <w:t xml:space="preserve">En último lugar, </w:t>
      </w:r>
      <w:r w:rsidR="003126CE" w:rsidRPr="002C13F3">
        <w:rPr>
          <w:rFonts w:ascii="Century" w:hAnsi="Century"/>
          <w:color w:val="auto"/>
        </w:rPr>
        <w:t>la Comunicación</w:t>
      </w:r>
      <w:r w:rsidR="00EF5B74">
        <w:rPr>
          <w:rFonts w:ascii="Century" w:hAnsi="Century"/>
          <w:color w:val="auto"/>
        </w:rPr>
        <w:t xml:space="preserve"> de la Comisión Europea</w:t>
      </w:r>
      <w:r w:rsidR="003126CE" w:rsidRPr="002C13F3">
        <w:rPr>
          <w:rFonts w:ascii="Century" w:hAnsi="Century"/>
          <w:color w:val="auto"/>
        </w:rPr>
        <w:t xml:space="preserve"> “Aplicación de medidas contra las prácticas abusivas en el ámbito de la fiscalidad directa dentro de la UE y en relación con terceros pa</w:t>
      </w:r>
      <w:r>
        <w:rPr>
          <w:rFonts w:ascii="Century" w:hAnsi="Century"/>
          <w:color w:val="auto"/>
        </w:rPr>
        <w:t xml:space="preserve">íses” [COM (2007) 785 final] </w:t>
      </w:r>
      <w:r w:rsidR="003126CE" w:rsidRPr="002C13F3">
        <w:rPr>
          <w:rFonts w:ascii="Century" w:hAnsi="Century"/>
          <w:color w:val="auto"/>
        </w:rPr>
        <w:t xml:space="preserve">considera la coordinación de la aplicación de las medidas contra las prácticas abusivas de la actividad transfronteriza en el interior de la UE y dirigidas a terceros países, a fin de proteger </w:t>
      </w:r>
      <w:r w:rsidR="00EF5B74">
        <w:rPr>
          <w:rFonts w:ascii="Century" w:hAnsi="Century"/>
          <w:color w:val="auto"/>
        </w:rPr>
        <w:t xml:space="preserve">las bases imponibles de los EM. </w:t>
      </w:r>
      <w:r w:rsidR="003126CE" w:rsidRPr="002C13F3">
        <w:rPr>
          <w:rFonts w:ascii="Century" w:hAnsi="Century"/>
          <w:color w:val="auto"/>
        </w:rPr>
        <w:t>La actividad de coordinación en esta materia tiene su origen en la STJCE</w:t>
      </w:r>
      <w:r w:rsidR="003126CE" w:rsidRPr="002C13F3">
        <w:rPr>
          <w:rFonts w:ascii="Century" w:hAnsi="Century" w:cs="MST T 31c 5d 4"/>
        </w:rPr>
        <w:t xml:space="preserve"> de 12 de septiembre de 2006, asunto C-196/04, sobre transparencia fiscal internacional</w:t>
      </w:r>
      <w:r w:rsidR="00817CD1">
        <w:rPr>
          <w:rFonts w:ascii="Century" w:hAnsi="Century" w:cs="MST T 31c 5d 4"/>
        </w:rPr>
        <w:t>,</w:t>
      </w:r>
      <w:r w:rsidR="003126CE" w:rsidRPr="002C13F3">
        <w:rPr>
          <w:rFonts w:ascii="Century" w:hAnsi="Century" w:cs="MST T 31c 5d 4"/>
        </w:rPr>
        <w:t xml:space="preserve"> y</w:t>
      </w:r>
      <w:r w:rsidR="00817CD1">
        <w:rPr>
          <w:rFonts w:ascii="Century" w:hAnsi="Century" w:cs="MST T 31c 5d 4"/>
        </w:rPr>
        <w:t xml:space="preserve"> en</w:t>
      </w:r>
      <w:r w:rsidR="003126CE" w:rsidRPr="002C13F3">
        <w:rPr>
          <w:rFonts w:ascii="Century" w:hAnsi="Century" w:cs="MST T 31c 5d 4"/>
        </w:rPr>
        <w:t xml:space="preserve"> varias sentencias sobre subcapitalización como </w:t>
      </w:r>
      <w:r w:rsidR="003126CE" w:rsidRPr="002C13F3">
        <w:rPr>
          <w:rFonts w:ascii="Century" w:hAnsi="Century"/>
          <w:color w:val="auto"/>
        </w:rPr>
        <w:t xml:space="preserve">la STJCE </w:t>
      </w:r>
      <w:r w:rsidR="003126CE" w:rsidRPr="002C13F3">
        <w:rPr>
          <w:rFonts w:ascii="Century" w:hAnsi="Century" w:cs="MST T 31c 5d 4"/>
        </w:rPr>
        <w:t>13 de marzo de 2007,</w:t>
      </w:r>
      <w:r w:rsidR="00823E21">
        <w:rPr>
          <w:rFonts w:ascii="Century" w:hAnsi="Century" w:cs="MST T 31c 5d 4"/>
        </w:rPr>
        <w:t xml:space="preserve"> asunto</w:t>
      </w:r>
      <w:r w:rsidR="003126CE" w:rsidRPr="002C13F3">
        <w:rPr>
          <w:rFonts w:ascii="Century" w:hAnsi="Century" w:cs="MST T 31c 5d 4"/>
        </w:rPr>
        <w:t xml:space="preserve"> C-524/04</w:t>
      </w:r>
      <w:r w:rsidR="003126CE" w:rsidRPr="00EC29FC">
        <w:rPr>
          <w:rFonts w:asciiTheme="minorHAnsi" w:hAnsiTheme="minorHAnsi" w:cstheme="minorHAnsi"/>
        </w:rPr>
        <w:t>;</w:t>
      </w:r>
      <w:r w:rsidR="003126CE" w:rsidRPr="002C13F3">
        <w:rPr>
          <w:rFonts w:ascii="Century" w:hAnsi="Century" w:cs="MST T 31c 5d 4"/>
        </w:rPr>
        <w:t xml:space="preserve"> la </w:t>
      </w:r>
      <w:r w:rsidR="003126CE" w:rsidRPr="002C13F3">
        <w:rPr>
          <w:rFonts w:ascii="Century" w:hAnsi="Century"/>
          <w:color w:val="auto"/>
        </w:rPr>
        <w:t>STJCE</w:t>
      </w:r>
      <w:r w:rsidR="003126CE" w:rsidRPr="002C13F3">
        <w:rPr>
          <w:rFonts w:ascii="Century" w:hAnsi="Century" w:cs="MST T 31c 5d 4"/>
        </w:rPr>
        <w:t xml:space="preserve"> de 17 de enero de 2008,</w:t>
      </w:r>
      <w:r w:rsidR="00823E21">
        <w:rPr>
          <w:rFonts w:ascii="Century" w:hAnsi="Century" w:cs="MST T 31c 5d 4"/>
        </w:rPr>
        <w:t xml:space="preserve"> asunto</w:t>
      </w:r>
      <w:r w:rsidR="003126CE" w:rsidRPr="002C13F3">
        <w:rPr>
          <w:rFonts w:ascii="Century" w:hAnsi="Century" w:cs="MST T 31c 5d 4"/>
        </w:rPr>
        <w:t xml:space="preserve"> C-105/07</w:t>
      </w:r>
      <w:r w:rsidR="003126CE" w:rsidRPr="00EC29FC">
        <w:rPr>
          <w:rFonts w:asciiTheme="minorHAnsi" w:hAnsiTheme="minorHAnsi" w:cstheme="minorHAnsi"/>
        </w:rPr>
        <w:t>;</w:t>
      </w:r>
      <w:r w:rsidR="003126CE" w:rsidRPr="002C13F3">
        <w:rPr>
          <w:rFonts w:ascii="Century" w:hAnsi="Century" w:cs="MST T 31c 5d 4"/>
        </w:rPr>
        <w:t xml:space="preserve"> y la </w:t>
      </w:r>
      <w:r w:rsidR="003126CE" w:rsidRPr="002C13F3">
        <w:rPr>
          <w:rFonts w:ascii="Century" w:hAnsi="Century"/>
          <w:color w:val="auto"/>
        </w:rPr>
        <w:t>STJCE</w:t>
      </w:r>
      <w:r w:rsidR="003126CE" w:rsidRPr="002C13F3">
        <w:rPr>
          <w:rFonts w:ascii="Century" w:hAnsi="Century" w:cs="MST T 31c 5d 4"/>
        </w:rPr>
        <w:t xml:space="preserve"> de 21 de enero de 2010, asunto C-311/08.</w:t>
      </w:r>
    </w:p>
    <w:p w:rsidR="003126CE" w:rsidRPr="002C13F3" w:rsidRDefault="003126CE" w:rsidP="002D11BC">
      <w:pPr>
        <w:pStyle w:val="Default"/>
        <w:spacing w:after="240" w:line="360" w:lineRule="auto"/>
        <w:jc w:val="both"/>
        <w:rPr>
          <w:rFonts w:ascii="Century" w:hAnsi="Century" w:cs="MST T 31c 5d 4"/>
        </w:rPr>
      </w:pPr>
      <w:r w:rsidRPr="002C13F3">
        <w:rPr>
          <w:rFonts w:ascii="Century" w:hAnsi="Century" w:cs="MST T 31c 5d 4"/>
        </w:rPr>
        <w:tab/>
        <w:t>En definitiva, el problema</w:t>
      </w:r>
      <w:r w:rsidR="00817CD1">
        <w:rPr>
          <w:rFonts w:ascii="Century" w:hAnsi="Century" w:cs="MST T 31c 5d 4"/>
        </w:rPr>
        <w:t xml:space="preserve"> competencial</w:t>
      </w:r>
      <w:r w:rsidRPr="002C13F3">
        <w:rPr>
          <w:rFonts w:ascii="Century" w:hAnsi="Century" w:cs="MST T 31c 5d 4"/>
        </w:rPr>
        <w:t xml:space="preserve"> se origina en que muchos de los sistemas fiscales nacionales actuales se encontraban obsoletos, puesto que fueron diseñados cuando los países permanecían indiferentes a lo que sucedía en otros lugares. A raíz de la creación de la UE, se crearon normas comunes para todos los EM, con el control del TJUE. La idea de crear un mercado único que debían de respetar estos Estados y cooperar en el buen funcionamiento del mismo, trajo </w:t>
      </w:r>
      <w:r w:rsidR="00817CD1">
        <w:rPr>
          <w:rFonts w:ascii="Century" w:hAnsi="Century" w:cs="MST T 31c 5d 4"/>
        </w:rPr>
        <w:t xml:space="preserve">la necesidad de </w:t>
      </w:r>
      <w:r w:rsidRPr="002C13F3">
        <w:rPr>
          <w:rFonts w:ascii="Century" w:hAnsi="Century" w:cs="MST T 31c 5d 4"/>
        </w:rPr>
        <w:t>adoptar medidas que ayudaran a alcanzar este objetivo, como la armonización y la coordinación fiscal. No obstante, el desarrollo de estas medidas se ha visto ralentizado</w:t>
      </w:r>
      <w:r w:rsidR="00817CD1">
        <w:rPr>
          <w:rFonts w:ascii="Century" w:hAnsi="Century" w:cs="MST T 31c 5d 4"/>
        </w:rPr>
        <w:t>,</w:t>
      </w:r>
      <w:r w:rsidRPr="002C13F3">
        <w:rPr>
          <w:rFonts w:ascii="Century" w:hAnsi="Century" w:cs="MST T 31c 5d 4"/>
        </w:rPr>
        <w:t xml:space="preserve"> debido a la resistencia de los Estados a llegar a acuerdos para transferir parte de su soberanía en el establecimiento y regulación de sus impuestos</w:t>
      </w:r>
      <w:r w:rsidR="00817CD1">
        <w:rPr>
          <w:rFonts w:ascii="Century" w:hAnsi="Century" w:cs="MST T 31c 5d 4"/>
        </w:rPr>
        <w:t>,</w:t>
      </w:r>
      <w:r w:rsidRPr="002C13F3">
        <w:rPr>
          <w:rFonts w:ascii="Century" w:hAnsi="Century" w:cs="MST T 31c 5d 4"/>
        </w:rPr>
        <w:t xml:space="preserve"> cuyos ingresos se utilizaban para alcanzar sus objetivos económicos.</w:t>
      </w:r>
    </w:p>
    <w:p w:rsidR="003126CE" w:rsidRPr="002C13F3" w:rsidRDefault="003126CE" w:rsidP="002D11BC">
      <w:pPr>
        <w:pStyle w:val="Default"/>
        <w:spacing w:after="240" w:line="360" w:lineRule="auto"/>
        <w:jc w:val="both"/>
        <w:rPr>
          <w:rFonts w:ascii="Century" w:hAnsi="Century" w:cs="MST T 31c 5d 4"/>
        </w:rPr>
      </w:pPr>
      <w:r w:rsidRPr="002C13F3">
        <w:rPr>
          <w:rFonts w:ascii="Century" w:hAnsi="Century" w:cs="MST T 31c 5d 4"/>
        </w:rPr>
        <w:lastRenderedPageBreak/>
        <w:tab/>
        <w:t>El Parlamento Europeo adoptó el 30 de abril de 2013 el Informe anual sobre la fiscalidad</w:t>
      </w:r>
      <w:r w:rsidR="00E91527">
        <w:rPr>
          <w:rFonts w:ascii="Century" w:hAnsi="Century" w:cs="MST T 31c 5d 4"/>
        </w:rPr>
        <w:t>,</w:t>
      </w:r>
      <w:r w:rsidRPr="002C13F3">
        <w:rPr>
          <w:rFonts w:ascii="Century" w:hAnsi="Century" w:cs="MST T 31c 5d 4"/>
        </w:rPr>
        <w:t xml:space="preserve"> que manifiesta las siguientes consideraciones generales</w:t>
      </w:r>
      <w:r w:rsidRPr="00514069">
        <w:rPr>
          <w:rFonts w:asciiTheme="minorHAnsi" w:hAnsiTheme="minorHAnsi" w:cstheme="minorHAnsi"/>
        </w:rPr>
        <w:t>:</w:t>
      </w:r>
      <w:r w:rsidRPr="002C13F3">
        <w:rPr>
          <w:rFonts w:ascii="Century" w:hAnsi="Century" w:cs="MST T 31c 5d 4"/>
        </w:rPr>
        <w:t xml:space="preserve"> el intercambio automático de información, una necesaria acción coordinada en la UE, mantener una competencia transparente en materia fiscal entre los EM, un mayor grado de armonización de las políticas fiscales</w:t>
      </w:r>
      <w:r w:rsidR="00E91527">
        <w:rPr>
          <w:rFonts w:ascii="Century" w:hAnsi="Century" w:cs="MST T 31c 5d 4"/>
        </w:rPr>
        <w:t>,</w:t>
      </w:r>
      <w:r w:rsidRPr="002C13F3">
        <w:rPr>
          <w:rFonts w:ascii="Century" w:hAnsi="Century" w:cs="MST T 31c 5d 4"/>
        </w:rPr>
        <w:t xml:space="preserve"> y abordar las barreras fiscales que dificultan la actividad transfronteriza.</w:t>
      </w:r>
      <w:r w:rsidR="00E91527">
        <w:rPr>
          <w:rFonts w:ascii="Century" w:hAnsi="Century" w:cs="MST T 31c 5d 4"/>
        </w:rPr>
        <w:t xml:space="preserve"> Todas estas actuaciones tratan de </w:t>
      </w:r>
      <w:r w:rsidRPr="002C13F3">
        <w:rPr>
          <w:rFonts w:ascii="Century" w:hAnsi="Century" w:cs="MST T 31c 5d 4"/>
        </w:rPr>
        <w:t>lograr</w:t>
      </w:r>
      <w:r w:rsidR="00E91527">
        <w:rPr>
          <w:rFonts w:ascii="Century" w:hAnsi="Century" w:cs="MST T 31c 5d 4"/>
        </w:rPr>
        <w:t xml:space="preserve"> el</w:t>
      </w:r>
      <w:r w:rsidRPr="002C13F3">
        <w:rPr>
          <w:rFonts w:ascii="Century" w:hAnsi="Century" w:cs="MST T 31c 5d 4"/>
        </w:rPr>
        <w:t xml:space="preserve"> correcto funcionamiento del mercado interior con una legislación eficaz en materia de política fisca</w:t>
      </w:r>
      <w:r w:rsidR="00EF6622" w:rsidRPr="002C13F3">
        <w:rPr>
          <w:rFonts w:ascii="Century" w:hAnsi="Century" w:cs="MST T 31c 5d 4"/>
        </w:rPr>
        <w:t>l</w:t>
      </w:r>
      <w:r w:rsidRPr="002C13F3">
        <w:rPr>
          <w:rFonts w:ascii="Century" w:hAnsi="Century" w:cs="MST T 31c 5d 4"/>
        </w:rPr>
        <w:t>, y</w:t>
      </w:r>
      <w:r w:rsidR="00E91527">
        <w:rPr>
          <w:rFonts w:ascii="Century" w:hAnsi="Century" w:cs="MST T 31c 5d 4"/>
        </w:rPr>
        <w:t xml:space="preserve"> fomentando</w:t>
      </w:r>
      <w:r w:rsidRPr="002C13F3">
        <w:rPr>
          <w:rFonts w:ascii="Century" w:hAnsi="Century" w:cs="MST T 31c 5d 4"/>
        </w:rPr>
        <w:t xml:space="preserve"> operaciones transfronterizas económicamente beneficiosas.</w:t>
      </w:r>
      <w:r w:rsidR="00E91527">
        <w:rPr>
          <w:rFonts w:ascii="Century" w:hAnsi="Century" w:cs="MST T 31c 5d 4"/>
        </w:rPr>
        <w:t xml:space="preserve"> </w:t>
      </w:r>
      <w:r w:rsidRPr="002C13F3">
        <w:rPr>
          <w:rFonts w:ascii="Century" w:hAnsi="Century" w:cs="MST T 31c 5d 4"/>
        </w:rPr>
        <w:t>En este sentido, se publicó el Reglamento (UE) nº 1286/2013 del Parlamento Europeo y del Consejo, de 11 de diciembre de 2013, por el que s</w:t>
      </w:r>
      <w:r w:rsidR="004E34DF">
        <w:rPr>
          <w:rFonts w:ascii="Century" w:hAnsi="Century" w:cs="MST T 31c 5d 4"/>
        </w:rPr>
        <w:t>e establece para el período 2014</w:t>
      </w:r>
      <w:r w:rsidRPr="002C13F3">
        <w:rPr>
          <w:rFonts w:ascii="Century" w:hAnsi="Century" w:cs="MST T 31c 5d 4"/>
        </w:rPr>
        <w:t>-2020 un programa de acción para mejorar el funcionamiento de los sistemas fi</w:t>
      </w:r>
      <w:r w:rsidR="009A27A0">
        <w:rPr>
          <w:rFonts w:ascii="Century" w:hAnsi="Century" w:cs="MST T 31c 5d 4"/>
        </w:rPr>
        <w:t>scales de la UE, y cuyo fin</w:t>
      </w:r>
      <w:r w:rsidR="00603320">
        <w:rPr>
          <w:rFonts w:ascii="Century" w:hAnsi="Century" w:cs="MST T 31c 5d 4"/>
        </w:rPr>
        <w:t xml:space="preserve"> es </w:t>
      </w:r>
      <w:r w:rsidRPr="002C13F3">
        <w:rPr>
          <w:rFonts w:ascii="Century" w:hAnsi="Century" w:cs="MST T 31c 5d 4"/>
        </w:rPr>
        <w:t>mejorar el funcionamiento de los mismos en el mercado interior y apoyar la cooperación en la materia.</w:t>
      </w:r>
    </w:p>
    <w:p w:rsidR="002D11BC" w:rsidRPr="002D11BC" w:rsidRDefault="003126CE" w:rsidP="002D11BC">
      <w:pPr>
        <w:pStyle w:val="Default"/>
        <w:spacing w:after="240" w:line="360" w:lineRule="auto"/>
        <w:jc w:val="both"/>
        <w:rPr>
          <w:rFonts w:ascii="Century" w:hAnsi="Century"/>
          <w:color w:val="00B0F0"/>
        </w:rPr>
      </w:pPr>
      <w:r w:rsidRPr="002C13F3">
        <w:rPr>
          <w:rFonts w:ascii="Century" w:hAnsi="Century"/>
        </w:rPr>
        <w:tab/>
        <w:t xml:space="preserve">En conclusión, los EM están centrados en que sus regímenes fiscales se adecúen a lo establecido por la normativa comunitaria, entre otras cosas para evitar obtener sentencias desfavorables por el TJUE que supongan un elevado desembolso en sus arcas públicas en forma de devoluciones de ingresos a los obligados tributarios afectados. </w:t>
      </w:r>
      <w:r w:rsidR="00E91527">
        <w:rPr>
          <w:rFonts w:ascii="Century" w:hAnsi="Century"/>
        </w:rPr>
        <w:t>Se trata por ello de alcanzar el</w:t>
      </w:r>
      <w:r w:rsidRPr="002C13F3">
        <w:rPr>
          <w:rFonts w:ascii="Century" w:hAnsi="Century"/>
        </w:rPr>
        <w:t xml:space="preserve"> mayor entendimiento</w:t>
      </w:r>
      <w:r w:rsidR="00E91527">
        <w:rPr>
          <w:rFonts w:ascii="Century" w:hAnsi="Century"/>
        </w:rPr>
        <w:t xml:space="preserve"> posible</w:t>
      </w:r>
      <w:r w:rsidRPr="002C13F3">
        <w:rPr>
          <w:rFonts w:ascii="Century" w:hAnsi="Century"/>
        </w:rPr>
        <w:t xml:space="preserve"> de los EM con la Comisión Europea, para encontrar soluciones a problemas particulares derivados de normativas fiscales nacionales de los EM, </w:t>
      </w:r>
      <w:r w:rsidR="00E91527">
        <w:rPr>
          <w:rFonts w:ascii="Century" w:hAnsi="Century"/>
        </w:rPr>
        <w:t xml:space="preserve">tales </w:t>
      </w:r>
      <w:r w:rsidRPr="002C13F3">
        <w:rPr>
          <w:rFonts w:ascii="Century" w:hAnsi="Century"/>
        </w:rPr>
        <w:t>como la discriminación y la vulneración de</w:t>
      </w:r>
      <w:r w:rsidR="00E91527">
        <w:rPr>
          <w:rFonts w:ascii="Century" w:hAnsi="Century"/>
        </w:rPr>
        <w:t xml:space="preserve"> la libertad de circulación. L</w:t>
      </w:r>
      <w:r w:rsidRPr="002C13F3">
        <w:rPr>
          <w:rFonts w:ascii="Century" w:hAnsi="Century"/>
        </w:rPr>
        <w:t>a armonización y la coordinación fiscal seguirán siendo asunto de interés en la UE</w:t>
      </w:r>
      <w:r w:rsidR="00E91527">
        <w:rPr>
          <w:rFonts w:ascii="Century" w:hAnsi="Century"/>
        </w:rPr>
        <w:t>,</w:t>
      </w:r>
      <w:r w:rsidRPr="002C13F3">
        <w:rPr>
          <w:rFonts w:ascii="Century" w:hAnsi="Century"/>
        </w:rPr>
        <w:t xml:space="preserve"> como instrumentos para alcanzar el objetivo del mercado interior. </w:t>
      </w:r>
      <w:r w:rsidR="00264FB8" w:rsidRPr="002C13F3">
        <w:rPr>
          <w:rFonts w:ascii="Century" w:hAnsi="Century"/>
        </w:rPr>
        <w:t xml:space="preserve">No obstante, </w:t>
      </w:r>
      <w:r w:rsidRPr="002C13F3">
        <w:rPr>
          <w:rFonts w:ascii="Century" w:hAnsi="Century"/>
        </w:rPr>
        <w:t>se están introduciendo nuevos instrumentos de política fiscal como la creación de un foro permanente de EM para intercambiar información, principalment</w:t>
      </w:r>
      <w:r w:rsidR="004E34DF">
        <w:rPr>
          <w:rFonts w:ascii="Century" w:hAnsi="Century"/>
        </w:rPr>
        <w:t>e, sobre los impuestos directos, así como garantizar que los sistemas fiscales nacionales sean compatibles y coherentes con los objetivos de la UE</w:t>
      </w:r>
      <w:r w:rsidR="000F3937" w:rsidRPr="00595BC2">
        <w:rPr>
          <w:rFonts w:ascii="Century" w:hAnsi="Century"/>
          <w:vertAlign w:val="superscript"/>
        </w:rPr>
        <w:footnoteReference w:id="17"/>
      </w:r>
      <w:r w:rsidR="004E34DF">
        <w:rPr>
          <w:rFonts w:ascii="Century" w:hAnsi="Century"/>
        </w:rPr>
        <w:t>.</w:t>
      </w:r>
      <w:r w:rsidR="00356639">
        <w:rPr>
          <w:rFonts w:ascii="Century" w:hAnsi="Century"/>
        </w:rPr>
        <w:t xml:space="preserve"> </w:t>
      </w:r>
      <w:r w:rsidR="002D11BC">
        <w:rPr>
          <w:rFonts w:ascii="Century" w:hAnsi="Century"/>
        </w:rPr>
        <w:t xml:space="preserve">En </w:t>
      </w:r>
      <w:r w:rsidR="002D11BC">
        <w:rPr>
          <w:rFonts w:ascii="Century" w:hAnsi="Century"/>
        </w:rPr>
        <w:lastRenderedPageBreak/>
        <w:t xml:space="preserve">este sentido, destaca, por ejemplo, </w:t>
      </w:r>
      <w:r w:rsidR="001D0AFD" w:rsidRPr="002D11BC">
        <w:rPr>
          <w:rFonts w:ascii="Century" w:hAnsi="Century"/>
          <w:color w:val="auto"/>
        </w:rPr>
        <w:t xml:space="preserve">el Acuerdo sobre intercambio de información en materia tributaria de la </w:t>
      </w:r>
      <w:r w:rsidR="001D0AFD" w:rsidRPr="002D11BC">
        <w:rPr>
          <w:rFonts w:ascii="Century" w:hAnsi="Century"/>
          <w:iCs/>
          <w:color w:val="auto"/>
        </w:rPr>
        <w:t>Organización para la Cooperación y el Desarrollo Económicos</w:t>
      </w:r>
      <w:r w:rsidR="001D0AFD" w:rsidRPr="002D11BC">
        <w:rPr>
          <w:rFonts w:ascii="Century" w:hAnsi="Century"/>
          <w:i/>
          <w:iCs/>
          <w:color w:val="auto"/>
        </w:rPr>
        <w:t xml:space="preserve"> </w:t>
      </w:r>
      <w:r w:rsidR="001D0AFD" w:rsidRPr="002D11BC">
        <w:rPr>
          <w:rFonts w:ascii="Century" w:hAnsi="Century"/>
          <w:color w:val="auto"/>
        </w:rPr>
        <w:t xml:space="preserve">(OCDE) </w:t>
      </w:r>
      <w:r w:rsidR="002D11BC" w:rsidRPr="002D11BC">
        <w:rPr>
          <w:rFonts w:ascii="Century" w:hAnsi="Century"/>
          <w:color w:val="auto"/>
        </w:rPr>
        <w:t>que tiene como objetivo</w:t>
      </w:r>
      <w:r w:rsidR="001D0AFD" w:rsidRPr="002D11BC">
        <w:rPr>
          <w:rFonts w:ascii="Century" w:hAnsi="Century"/>
          <w:color w:val="auto"/>
        </w:rPr>
        <w:t xml:space="preserve"> promover la cooperación internacional en materia tributaria mediante el intercambio de información</w:t>
      </w:r>
      <w:r w:rsidR="002D11BC" w:rsidRPr="002D11BC">
        <w:rPr>
          <w:rFonts w:ascii="Century" w:hAnsi="Century"/>
          <w:color w:val="auto"/>
        </w:rPr>
        <w:t>, y mediante</w:t>
      </w:r>
      <w:r w:rsidR="001D0AFD" w:rsidRPr="002D11BC">
        <w:rPr>
          <w:rFonts w:ascii="Century" w:hAnsi="Century"/>
          <w:color w:val="auto"/>
        </w:rPr>
        <w:t xml:space="preserve"> el que todos los EM y jurisdicciones deberán establecer un marco adecuado para alcanzar este objetivo.</w:t>
      </w:r>
      <w:r w:rsidR="001D0AFD" w:rsidRPr="00EF5B74">
        <w:rPr>
          <w:rFonts w:ascii="Century" w:hAnsi="Century"/>
          <w:color w:val="00B0F0"/>
        </w:rPr>
        <w:t xml:space="preserve"> </w:t>
      </w:r>
    </w:p>
    <w:p w:rsidR="003126CE" w:rsidRDefault="00C91332" w:rsidP="002D11BC">
      <w:pPr>
        <w:pStyle w:val="Ttulo2"/>
        <w:spacing w:before="0" w:after="240" w:line="360" w:lineRule="auto"/>
        <w:ind w:left="284"/>
        <w:jc w:val="both"/>
        <w:rPr>
          <w:rFonts w:ascii="Century" w:hAnsi="Century"/>
          <w:color w:val="auto"/>
          <w:sz w:val="24"/>
          <w:szCs w:val="24"/>
        </w:rPr>
      </w:pPr>
      <w:r w:rsidRPr="002C13F3">
        <w:rPr>
          <w:rFonts w:ascii="Century" w:hAnsi="Century"/>
          <w:color w:val="auto"/>
          <w:sz w:val="24"/>
          <w:szCs w:val="24"/>
        </w:rPr>
        <w:t>2</w:t>
      </w:r>
      <w:r w:rsidR="003126CE" w:rsidRPr="002C13F3">
        <w:rPr>
          <w:rFonts w:ascii="Century" w:hAnsi="Century"/>
          <w:color w:val="auto"/>
          <w:sz w:val="24"/>
          <w:szCs w:val="24"/>
        </w:rPr>
        <w:t>.2. El Impuesto sobre Sucesiones como impuesto no armonizado</w:t>
      </w:r>
    </w:p>
    <w:p w:rsidR="003126CE" w:rsidRPr="002C13F3" w:rsidRDefault="00742537" w:rsidP="002D11BC">
      <w:pPr>
        <w:spacing w:after="240" w:line="360" w:lineRule="auto"/>
        <w:jc w:val="both"/>
        <w:rPr>
          <w:rFonts w:ascii="Century" w:hAnsi="Century"/>
          <w:sz w:val="24"/>
          <w:szCs w:val="24"/>
        </w:rPr>
      </w:pPr>
      <w:r w:rsidRPr="002C13F3">
        <w:rPr>
          <w:rFonts w:ascii="Century" w:hAnsi="Century"/>
          <w:sz w:val="24"/>
          <w:szCs w:val="24"/>
          <w:lang w:eastAsia="en-US"/>
        </w:rPr>
        <w:tab/>
      </w:r>
      <w:r w:rsidR="00356639">
        <w:rPr>
          <w:rFonts w:ascii="Century" w:hAnsi="Century"/>
          <w:sz w:val="24"/>
          <w:szCs w:val="24"/>
          <w:lang w:eastAsia="en-US"/>
        </w:rPr>
        <w:t>Como ya hemos referido, e</w:t>
      </w:r>
      <w:r w:rsidR="003126CE" w:rsidRPr="002C13F3">
        <w:rPr>
          <w:rFonts w:ascii="Century" w:hAnsi="Century"/>
          <w:sz w:val="24"/>
          <w:szCs w:val="24"/>
        </w:rPr>
        <w:t>n el ámbito fiscal comunitario, el objetivo general consiste en que los EM deben actuar respetando los principios y libertades fundamentales recogidos por el TFUE</w:t>
      </w:r>
      <w:r w:rsidR="00356639">
        <w:rPr>
          <w:rFonts w:ascii="Century" w:hAnsi="Century"/>
          <w:sz w:val="24"/>
          <w:szCs w:val="24"/>
        </w:rPr>
        <w:t>,</w:t>
      </w:r>
      <w:r w:rsidR="003126CE" w:rsidRPr="002C13F3">
        <w:rPr>
          <w:rFonts w:ascii="Century" w:hAnsi="Century"/>
          <w:sz w:val="24"/>
          <w:szCs w:val="24"/>
        </w:rPr>
        <w:t xml:space="preserve"> con el fin de evitar o atenuar distorsiones fiscales entre los sistemas nacionales, que puedan traducirse en discriminaciones y dobles imposiciones fiscales que perjudiquen el funcionamie</w:t>
      </w:r>
      <w:r w:rsidR="00356639">
        <w:rPr>
          <w:rFonts w:ascii="Century" w:hAnsi="Century"/>
          <w:sz w:val="24"/>
          <w:szCs w:val="24"/>
        </w:rPr>
        <w:t>nto normal del mercado interior. Y</w:t>
      </w:r>
      <w:r w:rsidR="003126CE" w:rsidRPr="002C13F3">
        <w:rPr>
          <w:rFonts w:ascii="Century" w:hAnsi="Century"/>
          <w:sz w:val="24"/>
          <w:szCs w:val="24"/>
        </w:rPr>
        <w:t xml:space="preserve"> que este fin perseguido puede alcanzarse</w:t>
      </w:r>
      <w:r w:rsidR="00264FB8" w:rsidRPr="002C13F3">
        <w:rPr>
          <w:rFonts w:ascii="Century" w:hAnsi="Century"/>
          <w:sz w:val="24"/>
          <w:szCs w:val="24"/>
        </w:rPr>
        <w:t xml:space="preserve">, </w:t>
      </w:r>
      <w:r w:rsidR="00356639">
        <w:rPr>
          <w:rFonts w:ascii="Century" w:hAnsi="Century"/>
          <w:sz w:val="24"/>
          <w:szCs w:val="24"/>
        </w:rPr>
        <w:t>tal y como</w:t>
      </w:r>
      <w:r w:rsidR="00264FB8" w:rsidRPr="002C13F3">
        <w:rPr>
          <w:rFonts w:ascii="Century" w:hAnsi="Century"/>
          <w:sz w:val="24"/>
          <w:szCs w:val="24"/>
        </w:rPr>
        <w:t xml:space="preserve"> hemos visto,</w:t>
      </w:r>
      <w:r w:rsidR="003126CE" w:rsidRPr="002C13F3">
        <w:rPr>
          <w:rFonts w:ascii="Century" w:hAnsi="Century"/>
          <w:sz w:val="24"/>
          <w:szCs w:val="24"/>
        </w:rPr>
        <w:t xml:space="preserve"> a través de los instrumentos de la armonización y de la coordinación fiscal.</w:t>
      </w:r>
    </w:p>
    <w:p w:rsidR="003126CE" w:rsidRPr="002C13F3" w:rsidRDefault="003126CE" w:rsidP="002D11BC">
      <w:pPr>
        <w:spacing w:after="240" w:line="360" w:lineRule="auto"/>
        <w:jc w:val="both"/>
        <w:rPr>
          <w:rFonts w:ascii="Century" w:hAnsi="Century"/>
          <w:sz w:val="24"/>
          <w:szCs w:val="24"/>
        </w:rPr>
      </w:pPr>
      <w:r w:rsidRPr="002C13F3">
        <w:rPr>
          <w:rFonts w:ascii="Century" w:hAnsi="Century"/>
          <w:sz w:val="24"/>
          <w:szCs w:val="24"/>
        </w:rPr>
        <w:tab/>
        <w:t>En este sentido, establecer un espacio sin fronteras significa que las libertades fundamentales se pueden ejercitar sin ningún tipo de límites y obstáculos y en condiciones de plena igualdad dentro del territorio de la UE. Para ello, los EM tienen la obligación de eliminar los problemas de no discriminación y de doble imposición entre los ciudadanos comunitarios</w:t>
      </w:r>
      <w:r w:rsidR="00356639">
        <w:rPr>
          <w:rFonts w:ascii="Century" w:hAnsi="Century"/>
          <w:sz w:val="24"/>
          <w:szCs w:val="24"/>
        </w:rPr>
        <w:t>,</w:t>
      </w:r>
      <w:r w:rsidRPr="002C13F3">
        <w:rPr>
          <w:rFonts w:ascii="Century" w:hAnsi="Century"/>
          <w:sz w:val="24"/>
          <w:szCs w:val="24"/>
        </w:rPr>
        <w:t xml:space="preserve"> con independencia de donde procedan</w:t>
      </w:r>
      <w:r w:rsidR="00356639">
        <w:rPr>
          <w:rFonts w:ascii="Century" w:hAnsi="Century"/>
          <w:sz w:val="24"/>
          <w:szCs w:val="24"/>
        </w:rPr>
        <w:t>,</w:t>
      </w:r>
      <w:r w:rsidRPr="002C13F3">
        <w:rPr>
          <w:rFonts w:ascii="Century" w:hAnsi="Century"/>
          <w:sz w:val="24"/>
          <w:szCs w:val="24"/>
        </w:rPr>
        <w:t xml:space="preserve"> para garantizar las libertades de circulación</w:t>
      </w:r>
      <w:r w:rsidRPr="002C13F3">
        <w:rPr>
          <w:rStyle w:val="Refdenotaalpie"/>
          <w:rFonts w:ascii="Century" w:hAnsi="Century"/>
          <w:sz w:val="24"/>
          <w:szCs w:val="24"/>
        </w:rPr>
        <w:footnoteReference w:id="18"/>
      </w:r>
      <w:r w:rsidRPr="002C13F3">
        <w:rPr>
          <w:rFonts w:ascii="Century" w:hAnsi="Century"/>
          <w:sz w:val="24"/>
          <w:szCs w:val="24"/>
        </w:rPr>
        <w:t>.</w:t>
      </w:r>
    </w:p>
    <w:p w:rsidR="003126CE" w:rsidRPr="002C13F3" w:rsidRDefault="00742537" w:rsidP="002D11BC">
      <w:pPr>
        <w:spacing w:after="240" w:line="360" w:lineRule="auto"/>
        <w:jc w:val="both"/>
        <w:rPr>
          <w:rFonts w:ascii="Century" w:hAnsi="Century"/>
          <w:sz w:val="24"/>
          <w:szCs w:val="24"/>
        </w:rPr>
      </w:pPr>
      <w:r w:rsidRPr="002C13F3">
        <w:rPr>
          <w:rFonts w:ascii="Century" w:hAnsi="Century"/>
          <w:sz w:val="24"/>
          <w:szCs w:val="24"/>
          <w:lang w:eastAsia="en-US"/>
        </w:rPr>
        <w:tab/>
      </w:r>
      <w:r w:rsidR="00BC15BE" w:rsidRPr="002C13F3">
        <w:rPr>
          <w:rFonts w:ascii="Century" w:hAnsi="Century"/>
          <w:sz w:val="24"/>
          <w:szCs w:val="24"/>
          <w:lang w:eastAsia="en-US"/>
        </w:rPr>
        <w:t xml:space="preserve">Esto es lo que ocurre en </w:t>
      </w:r>
      <w:r w:rsidR="003126CE" w:rsidRPr="002C13F3">
        <w:rPr>
          <w:rFonts w:ascii="Century" w:hAnsi="Century"/>
          <w:sz w:val="24"/>
          <w:szCs w:val="24"/>
        </w:rPr>
        <w:t>el ámbito de las sucesiones,</w:t>
      </w:r>
      <w:r w:rsidR="00BC15BE" w:rsidRPr="002C13F3">
        <w:rPr>
          <w:rFonts w:ascii="Century" w:hAnsi="Century"/>
          <w:sz w:val="24"/>
          <w:szCs w:val="24"/>
        </w:rPr>
        <w:t xml:space="preserve"> </w:t>
      </w:r>
      <w:r w:rsidR="00356639">
        <w:rPr>
          <w:rFonts w:ascii="Century" w:hAnsi="Century"/>
          <w:sz w:val="24"/>
          <w:szCs w:val="24"/>
        </w:rPr>
        <w:t>en donde surge</w:t>
      </w:r>
      <w:r w:rsidR="003126CE" w:rsidRPr="002C13F3">
        <w:rPr>
          <w:rFonts w:ascii="Century" w:hAnsi="Century"/>
          <w:sz w:val="24"/>
          <w:szCs w:val="24"/>
        </w:rPr>
        <w:t xml:space="preserve"> la necesidad de solventar problemas derivados de la ausencia de armonización europea. La inexistencia de armonización en el marco sucesorio </w:t>
      </w:r>
      <w:r w:rsidR="00356639">
        <w:rPr>
          <w:rFonts w:ascii="Century" w:hAnsi="Century"/>
          <w:sz w:val="24"/>
          <w:szCs w:val="24"/>
        </w:rPr>
        <w:t>puede</w:t>
      </w:r>
      <w:r w:rsidR="003126CE" w:rsidRPr="002C13F3">
        <w:rPr>
          <w:rFonts w:ascii="Century" w:hAnsi="Century"/>
          <w:sz w:val="24"/>
          <w:szCs w:val="24"/>
        </w:rPr>
        <w:t xml:space="preserve"> producir</w:t>
      </w:r>
      <w:r w:rsidR="00356639">
        <w:rPr>
          <w:rFonts w:ascii="Century" w:hAnsi="Century"/>
          <w:sz w:val="24"/>
          <w:szCs w:val="24"/>
        </w:rPr>
        <w:t>, y produce, como veremos</w:t>
      </w:r>
      <w:r w:rsidR="00DA1DA1">
        <w:rPr>
          <w:rFonts w:ascii="Century" w:hAnsi="Century"/>
          <w:sz w:val="24"/>
          <w:szCs w:val="24"/>
        </w:rPr>
        <w:t>,</w:t>
      </w:r>
      <w:r w:rsidR="003126CE" w:rsidRPr="002C13F3">
        <w:rPr>
          <w:rFonts w:ascii="Century" w:hAnsi="Century"/>
          <w:sz w:val="24"/>
          <w:szCs w:val="24"/>
        </w:rPr>
        <w:t xml:space="preserve"> una competencia desleal entre los Estados. No obstante, la Comisión Europea considera que los EM pueden </w:t>
      </w:r>
      <w:r w:rsidR="003126CE" w:rsidRPr="002C13F3">
        <w:rPr>
          <w:rFonts w:ascii="Century" w:hAnsi="Century"/>
          <w:sz w:val="24"/>
          <w:szCs w:val="24"/>
        </w:rPr>
        <w:lastRenderedPageBreak/>
        <w:t>resolver esta problemática a través de la coordinación de las normativas fiscales nacionales, sin que sea necesario recurrir a la armonización de sus legislaciones sucesorias.</w:t>
      </w:r>
    </w:p>
    <w:p w:rsidR="003126CE" w:rsidRPr="002C13F3" w:rsidRDefault="003126CE" w:rsidP="002D11BC">
      <w:pPr>
        <w:autoSpaceDE w:val="0"/>
        <w:autoSpaceDN w:val="0"/>
        <w:adjustRightInd w:val="0"/>
        <w:spacing w:after="240" w:line="360" w:lineRule="auto"/>
        <w:jc w:val="both"/>
        <w:rPr>
          <w:rFonts w:ascii="Century" w:hAnsi="Century" w:cs="TimesNewRoman"/>
          <w:sz w:val="24"/>
          <w:szCs w:val="24"/>
        </w:rPr>
      </w:pPr>
      <w:r w:rsidRPr="002C13F3">
        <w:rPr>
          <w:rFonts w:ascii="Century" w:hAnsi="Century" w:cs="TimesNewRoman"/>
          <w:sz w:val="24"/>
          <w:szCs w:val="24"/>
        </w:rPr>
        <w:tab/>
        <w:t xml:space="preserve">Los problemas </w:t>
      </w:r>
      <w:r w:rsidR="00356639">
        <w:rPr>
          <w:rFonts w:ascii="Century" w:hAnsi="Century" w:cs="TimesNewRoman"/>
          <w:sz w:val="24"/>
          <w:szCs w:val="24"/>
        </w:rPr>
        <w:t>competenciales pueden conllevar</w:t>
      </w:r>
      <w:r w:rsidRPr="002C13F3">
        <w:rPr>
          <w:rFonts w:ascii="Century" w:hAnsi="Century" w:cs="TimesNewRoman"/>
          <w:sz w:val="24"/>
          <w:szCs w:val="24"/>
        </w:rPr>
        <w:t xml:space="preserve"> que los ciudadanos de la UE no se puedan beneficiar plenamente del derecho a operar y circular libremente a través de las fronteras de la UE. Las sucesiones constituyen movimientos de capitales, salvo en los casos en que todos los bienes a que se refieran se encuentren situados en el interior de un solo Estado miembro. El art. 63 del TFUE prohíbe todas las restricciones a dichos movimientos entre EM y entre EM y terceros países, sin perjuicio del derecho de los Estados a aplicar sus normativas nacionales, así como adoptar las medidas que crean necesarias para evitar infracciones en sus propias normativas fiscales, como se establece en el art. 65 del TFUE. Los sistemas fiscales de los Estados deben respetar</w:t>
      </w:r>
      <w:r w:rsidR="00356639">
        <w:rPr>
          <w:rFonts w:ascii="Century" w:hAnsi="Century" w:cs="TimesNewRoman"/>
          <w:sz w:val="24"/>
          <w:szCs w:val="24"/>
        </w:rPr>
        <w:t>, en definitiva,</w:t>
      </w:r>
      <w:r w:rsidRPr="002C13F3">
        <w:rPr>
          <w:rFonts w:ascii="Century" w:hAnsi="Century" w:cs="TimesNewRoman"/>
          <w:sz w:val="24"/>
          <w:szCs w:val="24"/>
        </w:rPr>
        <w:t xml:space="preserve"> las libertades fundamentales establecidas en el Tratado.</w:t>
      </w:r>
    </w:p>
    <w:p w:rsidR="003126CE" w:rsidRPr="00356639" w:rsidRDefault="003126CE" w:rsidP="002D11BC">
      <w:pPr>
        <w:autoSpaceDE w:val="0"/>
        <w:autoSpaceDN w:val="0"/>
        <w:adjustRightInd w:val="0"/>
        <w:spacing w:after="240" w:line="360" w:lineRule="auto"/>
        <w:jc w:val="both"/>
        <w:rPr>
          <w:rFonts w:ascii="Century" w:hAnsi="Century"/>
          <w:sz w:val="24"/>
          <w:szCs w:val="24"/>
        </w:rPr>
      </w:pPr>
      <w:r w:rsidRPr="002C13F3">
        <w:rPr>
          <w:rFonts w:ascii="Century" w:hAnsi="Century" w:cs="TimesNewRoman"/>
          <w:sz w:val="24"/>
          <w:szCs w:val="24"/>
        </w:rPr>
        <w:tab/>
        <w:t>El objetivo de la Comisión Europea es facilitar que los ciudadanos ejerzan su derecho a operar y circular libremente en el mercado interior y que no renuncien ante las dificultades de</w:t>
      </w:r>
      <w:r w:rsidR="00D64BEA">
        <w:rPr>
          <w:rFonts w:ascii="Century" w:hAnsi="Century" w:cs="TimesNewRoman"/>
          <w:sz w:val="24"/>
          <w:szCs w:val="24"/>
        </w:rPr>
        <w:t>l impuesto</w:t>
      </w:r>
      <w:r w:rsidR="00356639">
        <w:rPr>
          <w:rFonts w:ascii="Century" w:hAnsi="Century" w:cs="TimesNewRoman"/>
          <w:sz w:val="24"/>
          <w:szCs w:val="24"/>
        </w:rPr>
        <w:t>. Para ello</w:t>
      </w:r>
      <w:r w:rsidRPr="002C13F3">
        <w:rPr>
          <w:rFonts w:ascii="Century" w:hAnsi="Century" w:cs="TimesNewRoman"/>
          <w:sz w:val="24"/>
          <w:szCs w:val="24"/>
        </w:rPr>
        <w:t xml:space="preserve"> se debería fomentar la eliminación de la discriminación en el ámbito de la tributación de las sucesiones</w:t>
      </w:r>
      <w:r w:rsidR="00356639">
        <w:rPr>
          <w:rFonts w:ascii="Century" w:hAnsi="Century" w:cs="TimesNewRoman"/>
          <w:sz w:val="24"/>
          <w:szCs w:val="24"/>
        </w:rPr>
        <w:t>,</w:t>
      </w:r>
      <w:r w:rsidRPr="002C13F3">
        <w:rPr>
          <w:rFonts w:ascii="Century" w:hAnsi="Century" w:cs="TimesNewRoman"/>
          <w:sz w:val="24"/>
          <w:szCs w:val="24"/>
        </w:rPr>
        <w:t xml:space="preserve"> y reducir la doble imposición de</w:t>
      </w:r>
      <w:r w:rsidR="00356639">
        <w:rPr>
          <w:rFonts w:ascii="Century" w:hAnsi="Century" w:cs="TimesNewRoman"/>
          <w:sz w:val="24"/>
          <w:szCs w:val="24"/>
        </w:rPr>
        <w:t xml:space="preserve"> éstas</w:t>
      </w:r>
      <w:r w:rsidRPr="002C13F3">
        <w:rPr>
          <w:rFonts w:ascii="Century" w:hAnsi="Century" w:cs="TimesNewRoman"/>
          <w:sz w:val="24"/>
          <w:szCs w:val="24"/>
        </w:rPr>
        <w:t xml:space="preserve"> en la UE. En este sentido, d</w:t>
      </w:r>
      <w:r w:rsidRPr="002C13F3">
        <w:rPr>
          <w:rFonts w:ascii="Century" w:hAnsi="Century"/>
          <w:sz w:val="24"/>
          <w:szCs w:val="24"/>
        </w:rPr>
        <w:t>ebido a la ausencia de tratados internacionales y la casi inexistencia de convenios bilaterales entre los Estados, la Comisión Europea tuvo que adoptar tres mecanismos con el fin de solucionar el trato discriminatorio y la doble imposición internacional dados en este ámbito</w:t>
      </w:r>
      <w:r w:rsidR="00356639">
        <w:rPr>
          <w:rFonts w:ascii="Century" w:hAnsi="Century"/>
          <w:sz w:val="24"/>
          <w:szCs w:val="24"/>
        </w:rPr>
        <w:t>,</w:t>
      </w:r>
      <w:r w:rsidRPr="002C13F3">
        <w:rPr>
          <w:rFonts w:ascii="Century" w:hAnsi="Century"/>
          <w:sz w:val="24"/>
          <w:szCs w:val="24"/>
        </w:rPr>
        <w:t xml:space="preserve"> como consecuencia del aumento de la circulación de mercancías, personas, </w:t>
      </w:r>
      <w:r w:rsidR="00BC15BE" w:rsidRPr="002C13F3">
        <w:rPr>
          <w:rFonts w:ascii="Century" w:hAnsi="Century"/>
          <w:sz w:val="24"/>
          <w:szCs w:val="24"/>
        </w:rPr>
        <w:t>servicios</w:t>
      </w:r>
      <w:r w:rsidRPr="002C13F3">
        <w:rPr>
          <w:rFonts w:ascii="Century" w:hAnsi="Century"/>
          <w:sz w:val="24"/>
          <w:szCs w:val="24"/>
        </w:rPr>
        <w:t xml:space="preserve"> y capitales dentro de la UE. Estos mecanismos se refieren a la </w:t>
      </w:r>
      <w:r w:rsidRPr="00356639">
        <w:rPr>
          <w:rFonts w:ascii="Century" w:hAnsi="Century"/>
          <w:sz w:val="24"/>
          <w:szCs w:val="24"/>
        </w:rPr>
        <w:t>Comunicación</w:t>
      </w:r>
      <w:r w:rsidR="00EF5B74">
        <w:rPr>
          <w:rFonts w:ascii="Century" w:hAnsi="Century"/>
          <w:sz w:val="24"/>
          <w:szCs w:val="24"/>
        </w:rPr>
        <w:t xml:space="preserve"> de la Comisión Europea</w:t>
      </w:r>
      <w:r w:rsidR="00356639" w:rsidRPr="00356639">
        <w:rPr>
          <w:rFonts w:ascii="Century" w:hAnsi="Century"/>
          <w:sz w:val="24"/>
          <w:szCs w:val="24"/>
        </w:rPr>
        <w:t xml:space="preserve"> denominada “S</w:t>
      </w:r>
      <w:r w:rsidR="00356639" w:rsidRPr="00356639">
        <w:rPr>
          <w:rFonts w:ascii="Century" w:hAnsi="Century"/>
          <w:bCs/>
          <w:sz w:val="24"/>
          <w:szCs w:val="24"/>
        </w:rPr>
        <w:t>olventar los obstáculos transfronterizos derivados de los impuestos sobre sucesiones en la UE” [</w:t>
      </w:r>
      <w:r w:rsidR="00356639" w:rsidRPr="00356639">
        <w:rPr>
          <w:rFonts w:ascii="Century" w:hAnsi="Century" w:cs="TimesNewRoman"/>
          <w:sz w:val="24"/>
          <w:szCs w:val="24"/>
        </w:rPr>
        <w:t>COM (2011) 864 final]</w:t>
      </w:r>
      <w:r w:rsidRPr="00356639">
        <w:rPr>
          <w:rFonts w:ascii="Century" w:hAnsi="Century"/>
          <w:sz w:val="24"/>
          <w:szCs w:val="24"/>
        </w:rPr>
        <w:t>, el Documento de Tra</w:t>
      </w:r>
      <w:r w:rsidR="00D64BEA" w:rsidRPr="00356639">
        <w:rPr>
          <w:rFonts w:ascii="Century" w:hAnsi="Century"/>
          <w:sz w:val="24"/>
          <w:szCs w:val="24"/>
        </w:rPr>
        <w:t>bajo</w:t>
      </w:r>
      <w:r w:rsidR="00356639" w:rsidRPr="00356639">
        <w:rPr>
          <w:rFonts w:ascii="Century" w:hAnsi="Century"/>
          <w:sz w:val="24"/>
          <w:szCs w:val="24"/>
        </w:rPr>
        <w:t xml:space="preserve"> denominado “Regímenes del impuesto sobre sucesiones no discriminatorios” [SEC (2011) </w:t>
      </w:r>
      <w:r w:rsidR="00356639" w:rsidRPr="00356639">
        <w:rPr>
          <w:rFonts w:ascii="Century" w:hAnsi="Century"/>
          <w:sz w:val="24"/>
          <w:szCs w:val="24"/>
        </w:rPr>
        <w:lastRenderedPageBreak/>
        <w:t>1488 final]</w:t>
      </w:r>
      <w:r w:rsidR="00D64BEA" w:rsidRPr="00356639">
        <w:rPr>
          <w:rFonts w:ascii="Century" w:hAnsi="Century"/>
          <w:sz w:val="24"/>
          <w:szCs w:val="24"/>
        </w:rPr>
        <w:t xml:space="preserve">, y </w:t>
      </w:r>
      <w:r w:rsidRPr="00356639">
        <w:rPr>
          <w:rFonts w:ascii="Century" w:hAnsi="Century"/>
          <w:sz w:val="24"/>
          <w:szCs w:val="24"/>
        </w:rPr>
        <w:t>la Recomendación</w:t>
      </w:r>
      <w:r w:rsidR="00356639" w:rsidRPr="00356639">
        <w:rPr>
          <w:rFonts w:ascii="Century" w:hAnsi="Century"/>
          <w:sz w:val="24"/>
          <w:szCs w:val="24"/>
        </w:rPr>
        <w:t xml:space="preserve"> </w:t>
      </w:r>
      <w:r w:rsidR="00356639" w:rsidRPr="00356639">
        <w:rPr>
          <w:rFonts w:ascii="Century" w:hAnsi="Century" w:cs="TimesNewRoman"/>
          <w:sz w:val="24"/>
          <w:szCs w:val="24"/>
        </w:rPr>
        <w:t xml:space="preserve">relativa a medidas encaminadas a evitar la doble imposición en materia de sucesiones </w:t>
      </w:r>
      <w:r w:rsidR="00356639" w:rsidRPr="00356639">
        <w:rPr>
          <w:rFonts w:ascii="Century" w:hAnsi="Century"/>
          <w:sz w:val="24"/>
          <w:szCs w:val="24"/>
        </w:rPr>
        <w:t>(2011/856/UE)</w:t>
      </w:r>
      <w:r w:rsidRPr="00356639">
        <w:rPr>
          <w:rStyle w:val="Refdenotaalpie"/>
          <w:rFonts w:ascii="Century" w:hAnsi="Century"/>
          <w:sz w:val="24"/>
          <w:szCs w:val="24"/>
        </w:rPr>
        <w:footnoteReference w:id="19"/>
      </w:r>
      <w:r w:rsidRPr="00356639">
        <w:rPr>
          <w:rFonts w:ascii="Century" w:hAnsi="Century"/>
          <w:sz w:val="24"/>
          <w:szCs w:val="24"/>
        </w:rPr>
        <w:t>.</w:t>
      </w:r>
    </w:p>
    <w:p w:rsidR="003126CE" w:rsidRPr="002C13F3" w:rsidRDefault="00356639" w:rsidP="002D11BC">
      <w:pPr>
        <w:autoSpaceDE w:val="0"/>
        <w:autoSpaceDN w:val="0"/>
        <w:adjustRightInd w:val="0"/>
        <w:spacing w:after="240" w:line="360" w:lineRule="auto"/>
        <w:jc w:val="both"/>
        <w:rPr>
          <w:rFonts w:ascii="Century" w:hAnsi="Century"/>
          <w:sz w:val="24"/>
          <w:szCs w:val="24"/>
        </w:rPr>
      </w:pPr>
      <w:r>
        <w:rPr>
          <w:rFonts w:ascii="Century" w:hAnsi="Century"/>
          <w:sz w:val="24"/>
          <w:szCs w:val="24"/>
        </w:rPr>
        <w:tab/>
        <w:t>Dentro de l</w:t>
      </w:r>
      <w:r w:rsidR="003126CE" w:rsidRPr="002C13F3">
        <w:rPr>
          <w:rFonts w:ascii="Century" w:hAnsi="Century"/>
          <w:sz w:val="24"/>
          <w:szCs w:val="24"/>
        </w:rPr>
        <w:t xml:space="preserve">a </w:t>
      </w:r>
      <w:r w:rsidR="003126CE" w:rsidRPr="00015A2D">
        <w:rPr>
          <w:rFonts w:ascii="Century" w:hAnsi="Century"/>
          <w:sz w:val="24"/>
          <w:szCs w:val="24"/>
        </w:rPr>
        <w:t>Comunicación</w:t>
      </w:r>
      <w:r w:rsidR="003126CE" w:rsidRPr="002C13F3">
        <w:rPr>
          <w:rFonts w:ascii="Century" w:hAnsi="Century"/>
          <w:sz w:val="24"/>
          <w:szCs w:val="24"/>
        </w:rPr>
        <w:t xml:space="preserve">, se hace referencia a </w:t>
      </w:r>
      <w:r>
        <w:rPr>
          <w:rFonts w:ascii="Century" w:hAnsi="Century"/>
          <w:sz w:val="24"/>
          <w:szCs w:val="24"/>
        </w:rPr>
        <w:t>otra</w:t>
      </w:r>
      <w:r w:rsidR="003126CE" w:rsidRPr="002C13F3">
        <w:rPr>
          <w:rFonts w:ascii="Century" w:hAnsi="Century"/>
          <w:sz w:val="24"/>
          <w:szCs w:val="24"/>
        </w:rPr>
        <w:t xml:space="preserve"> Comunicación</w:t>
      </w:r>
      <w:r w:rsidR="00EF5B74">
        <w:rPr>
          <w:rFonts w:ascii="Century" w:hAnsi="Century"/>
          <w:sz w:val="24"/>
          <w:szCs w:val="24"/>
        </w:rPr>
        <w:t xml:space="preserve"> de la Comisión Europea</w:t>
      </w:r>
      <w:r w:rsidR="003126CE" w:rsidRPr="002C13F3">
        <w:rPr>
          <w:rFonts w:ascii="Century" w:hAnsi="Century"/>
          <w:sz w:val="24"/>
          <w:szCs w:val="24"/>
        </w:rPr>
        <w:t xml:space="preserve"> de 20 de diciembre de 2010 denominada</w:t>
      </w:r>
      <w:r>
        <w:rPr>
          <w:rFonts w:ascii="Century" w:hAnsi="Century"/>
          <w:sz w:val="24"/>
          <w:szCs w:val="24"/>
        </w:rPr>
        <w:t>,</w:t>
      </w:r>
      <w:r w:rsidR="003126CE" w:rsidRPr="002C13F3">
        <w:rPr>
          <w:rFonts w:ascii="Century" w:hAnsi="Century"/>
          <w:sz w:val="24"/>
          <w:szCs w:val="24"/>
        </w:rPr>
        <w:t xml:space="preserve"> “Eliminar las barreras fiscales transfronterizas en beneficio de los ciudadanos de la UE”</w:t>
      </w:r>
      <w:r w:rsidR="00EF5B74">
        <w:rPr>
          <w:rFonts w:ascii="Century" w:hAnsi="Century"/>
          <w:sz w:val="24"/>
          <w:szCs w:val="24"/>
        </w:rPr>
        <w:t xml:space="preserve"> </w:t>
      </w:r>
      <w:r w:rsidR="00EF5B74" w:rsidRPr="00994D4C">
        <w:rPr>
          <w:rStyle w:val="Ttulo2Car"/>
          <w:rFonts w:ascii="Century" w:hAnsi="Century"/>
          <w:b w:val="0"/>
          <w:color w:val="auto"/>
          <w:sz w:val="24"/>
          <w:szCs w:val="24"/>
        </w:rPr>
        <w:t>[</w:t>
      </w:r>
      <w:r w:rsidR="00EF5B74" w:rsidRPr="00994D4C">
        <w:rPr>
          <w:rStyle w:val="Textoennegrita"/>
          <w:rFonts w:ascii="Century" w:hAnsi="Century"/>
          <w:b w:val="0"/>
          <w:sz w:val="24"/>
          <w:szCs w:val="24"/>
        </w:rPr>
        <w:t>COM (2010) 769 final]</w:t>
      </w:r>
      <w:r w:rsidR="003126CE" w:rsidRPr="002C13F3">
        <w:rPr>
          <w:rFonts w:ascii="Century" w:hAnsi="Century"/>
          <w:sz w:val="24"/>
          <w:szCs w:val="24"/>
        </w:rPr>
        <w:t xml:space="preserve">, que examina los problemas fiscales que surgen de una actividad transfronteriza en la UE que tienen que hacer </w:t>
      </w:r>
      <w:r>
        <w:rPr>
          <w:rFonts w:ascii="Century" w:hAnsi="Century"/>
          <w:sz w:val="24"/>
          <w:szCs w:val="24"/>
        </w:rPr>
        <w:t xml:space="preserve">frente los ciudadanos, </w:t>
      </w:r>
      <w:r w:rsidR="003126CE" w:rsidRPr="002C13F3">
        <w:rPr>
          <w:rFonts w:ascii="Century" w:hAnsi="Century"/>
          <w:sz w:val="24"/>
          <w:szCs w:val="24"/>
        </w:rPr>
        <w:t>plantea</w:t>
      </w:r>
      <w:r>
        <w:rPr>
          <w:rFonts w:ascii="Century" w:hAnsi="Century"/>
          <w:sz w:val="24"/>
          <w:szCs w:val="24"/>
        </w:rPr>
        <w:t>ndo</w:t>
      </w:r>
      <w:r w:rsidR="003126CE" w:rsidRPr="002C13F3">
        <w:rPr>
          <w:rFonts w:ascii="Century" w:hAnsi="Century"/>
          <w:sz w:val="24"/>
          <w:szCs w:val="24"/>
        </w:rPr>
        <w:t xml:space="preserve"> soluciones a los mismos.</w:t>
      </w:r>
      <w:r>
        <w:rPr>
          <w:rFonts w:ascii="Century" w:hAnsi="Century"/>
          <w:sz w:val="24"/>
          <w:szCs w:val="24"/>
        </w:rPr>
        <w:t xml:space="preserve"> Así se indica que l</w:t>
      </w:r>
      <w:r w:rsidR="003126CE" w:rsidRPr="002C13F3">
        <w:rPr>
          <w:rFonts w:ascii="Century" w:hAnsi="Century"/>
          <w:sz w:val="24"/>
          <w:szCs w:val="24"/>
        </w:rPr>
        <w:t xml:space="preserve">os problemas que derivan de las herencias recibidas en otro país son, principalmente, la discriminación y la doble imposición fiscal. </w:t>
      </w:r>
    </w:p>
    <w:p w:rsidR="003126CE" w:rsidRDefault="003126CE" w:rsidP="002D11BC">
      <w:pPr>
        <w:autoSpaceDE w:val="0"/>
        <w:autoSpaceDN w:val="0"/>
        <w:adjustRightInd w:val="0"/>
        <w:spacing w:after="240" w:line="360" w:lineRule="auto"/>
        <w:jc w:val="both"/>
        <w:rPr>
          <w:rFonts w:ascii="Century" w:hAnsi="Century"/>
          <w:sz w:val="24"/>
          <w:szCs w:val="24"/>
        </w:rPr>
      </w:pPr>
      <w:r w:rsidRPr="002C13F3">
        <w:rPr>
          <w:rFonts w:ascii="Century" w:hAnsi="Century"/>
          <w:sz w:val="24"/>
          <w:szCs w:val="24"/>
        </w:rPr>
        <w:tab/>
        <w:t xml:space="preserve">Con respecto al </w:t>
      </w:r>
      <w:r w:rsidRPr="00015A2D">
        <w:rPr>
          <w:rFonts w:ascii="Century" w:hAnsi="Century"/>
          <w:sz w:val="24"/>
          <w:szCs w:val="24"/>
        </w:rPr>
        <w:t>problema de la discriminación fiscal</w:t>
      </w:r>
      <w:r w:rsidRPr="002C13F3">
        <w:rPr>
          <w:rFonts w:ascii="Century" w:hAnsi="Century"/>
          <w:sz w:val="24"/>
          <w:szCs w:val="24"/>
        </w:rPr>
        <w:t xml:space="preserve">, la Comunicación y el Documento de Trabajo examinan su problemática en materia sucesoria. La primera establece que los EM pueden discriminar las herencias transfronterizas aplicando un tipo impositivo más elevado cuando los bienes, el causante y/o sus herederos están establecidos en otros países, que el que aplicarían en situaciones de ámbito nacional. El segundo considera que los ciudadanos de la UE pueden verse </w:t>
      </w:r>
      <w:r w:rsidR="004962F7">
        <w:rPr>
          <w:rFonts w:ascii="Century" w:hAnsi="Century"/>
          <w:sz w:val="24"/>
          <w:szCs w:val="24"/>
        </w:rPr>
        <w:t>discriminados</w:t>
      </w:r>
      <w:r w:rsidRPr="002C13F3">
        <w:rPr>
          <w:rFonts w:ascii="Century" w:hAnsi="Century"/>
          <w:sz w:val="24"/>
          <w:szCs w:val="24"/>
        </w:rPr>
        <w:t xml:space="preserve"> </w:t>
      </w:r>
      <w:r w:rsidR="004962F7">
        <w:rPr>
          <w:rFonts w:ascii="Century" w:hAnsi="Century"/>
          <w:sz w:val="24"/>
          <w:szCs w:val="24"/>
        </w:rPr>
        <w:t>en la aplicación de</w:t>
      </w:r>
      <w:r w:rsidRPr="002C13F3">
        <w:rPr>
          <w:rFonts w:ascii="Century" w:hAnsi="Century"/>
          <w:sz w:val="24"/>
          <w:szCs w:val="24"/>
        </w:rPr>
        <w:t xml:space="preserve"> su derecho de libre circulación </w:t>
      </w:r>
      <w:r w:rsidR="004962F7">
        <w:rPr>
          <w:rFonts w:ascii="Century" w:hAnsi="Century"/>
          <w:sz w:val="24"/>
          <w:szCs w:val="24"/>
        </w:rPr>
        <w:t>en el ámbito de las sucesiones transfronterizas de</w:t>
      </w:r>
      <w:r w:rsidRPr="002C13F3">
        <w:rPr>
          <w:rFonts w:ascii="Century" w:hAnsi="Century"/>
          <w:sz w:val="24"/>
          <w:szCs w:val="24"/>
        </w:rPr>
        <w:t xml:space="preserve"> la UE.</w:t>
      </w:r>
      <w:r w:rsidR="00356639">
        <w:rPr>
          <w:rFonts w:ascii="Century" w:hAnsi="Century"/>
          <w:sz w:val="24"/>
          <w:szCs w:val="24"/>
        </w:rPr>
        <w:t xml:space="preserve"> </w:t>
      </w:r>
      <w:r w:rsidR="00356639" w:rsidRPr="00356639">
        <w:rPr>
          <w:rFonts w:ascii="Century" w:hAnsi="Century"/>
          <w:sz w:val="24"/>
          <w:szCs w:val="24"/>
        </w:rPr>
        <w:t>La discriminación fiscal</w:t>
      </w:r>
      <w:r w:rsidR="00356639">
        <w:rPr>
          <w:rFonts w:ascii="Century" w:hAnsi="Century"/>
          <w:color w:val="FF0000"/>
          <w:sz w:val="24"/>
          <w:szCs w:val="24"/>
        </w:rPr>
        <w:t xml:space="preserve"> </w:t>
      </w:r>
      <w:r w:rsidRPr="002C13F3">
        <w:rPr>
          <w:rFonts w:ascii="Century" w:hAnsi="Century"/>
          <w:sz w:val="24"/>
          <w:szCs w:val="24"/>
        </w:rPr>
        <w:t xml:space="preserve">se origina </w:t>
      </w:r>
      <w:r w:rsidR="00356639">
        <w:rPr>
          <w:rFonts w:ascii="Century" w:hAnsi="Century"/>
          <w:sz w:val="24"/>
          <w:szCs w:val="24"/>
        </w:rPr>
        <w:t xml:space="preserve">al </w:t>
      </w:r>
      <w:r w:rsidR="004962F7">
        <w:rPr>
          <w:rFonts w:ascii="Century" w:hAnsi="Century"/>
          <w:sz w:val="24"/>
          <w:szCs w:val="24"/>
        </w:rPr>
        <w:t xml:space="preserve">no </w:t>
      </w:r>
      <w:r w:rsidR="00356639">
        <w:rPr>
          <w:rFonts w:ascii="Century" w:hAnsi="Century"/>
          <w:sz w:val="24"/>
          <w:szCs w:val="24"/>
        </w:rPr>
        <w:t xml:space="preserve">existir una </w:t>
      </w:r>
      <w:r w:rsidRPr="002C13F3">
        <w:rPr>
          <w:rFonts w:ascii="Century" w:hAnsi="Century"/>
          <w:sz w:val="24"/>
          <w:szCs w:val="24"/>
        </w:rPr>
        <w:t>legislación común de la UE en</w:t>
      </w:r>
      <w:r w:rsidR="00356639">
        <w:rPr>
          <w:rFonts w:ascii="Century" w:hAnsi="Century"/>
          <w:sz w:val="24"/>
          <w:szCs w:val="24"/>
        </w:rPr>
        <w:t xml:space="preserve"> materia de</w:t>
      </w:r>
      <w:r w:rsidRPr="002C13F3">
        <w:rPr>
          <w:rFonts w:ascii="Century" w:hAnsi="Century"/>
          <w:sz w:val="24"/>
          <w:szCs w:val="24"/>
        </w:rPr>
        <w:t xml:space="preserve"> tributación de las herencias, por lo que los EM tienen libertad en aplicar sus normativas en este ámbito</w:t>
      </w:r>
      <w:r w:rsidR="00356639">
        <w:rPr>
          <w:rFonts w:ascii="Century" w:hAnsi="Century"/>
          <w:sz w:val="24"/>
          <w:szCs w:val="24"/>
        </w:rPr>
        <w:t>, y</w:t>
      </w:r>
      <w:r w:rsidR="002E0BAD">
        <w:rPr>
          <w:rFonts w:ascii="Century" w:hAnsi="Century"/>
          <w:sz w:val="24"/>
          <w:szCs w:val="24"/>
        </w:rPr>
        <w:t xml:space="preserve"> siempre y cuando la</w:t>
      </w:r>
      <w:r w:rsidRPr="002C13F3">
        <w:rPr>
          <w:rFonts w:ascii="Century" w:hAnsi="Century"/>
          <w:sz w:val="24"/>
          <w:szCs w:val="24"/>
        </w:rPr>
        <w:t xml:space="preserve"> discriminación</w:t>
      </w:r>
      <w:r w:rsidR="002E0BAD">
        <w:rPr>
          <w:rFonts w:ascii="Century" w:hAnsi="Century"/>
          <w:sz w:val="24"/>
          <w:szCs w:val="24"/>
        </w:rPr>
        <w:t xml:space="preserve"> esté</w:t>
      </w:r>
      <w:r w:rsidRPr="002C13F3">
        <w:rPr>
          <w:rFonts w:ascii="Century" w:hAnsi="Century"/>
          <w:sz w:val="24"/>
          <w:szCs w:val="24"/>
        </w:rPr>
        <w:t xml:space="preserve"> basada en la residencia o la nacionalidad</w:t>
      </w:r>
      <w:r w:rsidR="002E0BAD">
        <w:rPr>
          <w:rFonts w:ascii="Century" w:hAnsi="Century"/>
          <w:sz w:val="24"/>
          <w:szCs w:val="24"/>
        </w:rPr>
        <w:t xml:space="preserve">, suponiendo </w:t>
      </w:r>
      <w:r w:rsidRPr="002C13F3">
        <w:rPr>
          <w:rFonts w:ascii="Century" w:hAnsi="Century"/>
          <w:sz w:val="24"/>
          <w:szCs w:val="24"/>
        </w:rPr>
        <w:t>restricciones injustificadas al ejercicio de las libertades garantizadas por el TFUE</w:t>
      </w:r>
      <w:r w:rsidRPr="002C13F3">
        <w:rPr>
          <w:rStyle w:val="Refdenotaalpie"/>
          <w:rFonts w:ascii="Century" w:hAnsi="Century"/>
          <w:sz w:val="24"/>
          <w:szCs w:val="24"/>
        </w:rPr>
        <w:footnoteReference w:id="20"/>
      </w:r>
      <w:r w:rsidRPr="002C13F3">
        <w:rPr>
          <w:rFonts w:ascii="Century" w:hAnsi="Century"/>
          <w:sz w:val="24"/>
          <w:szCs w:val="24"/>
        </w:rPr>
        <w:t xml:space="preserve">. </w:t>
      </w:r>
    </w:p>
    <w:p w:rsidR="003126CE" w:rsidRPr="002C13F3" w:rsidRDefault="003126CE" w:rsidP="002D11BC">
      <w:pPr>
        <w:autoSpaceDE w:val="0"/>
        <w:autoSpaceDN w:val="0"/>
        <w:adjustRightInd w:val="0"/>
        <w:spacing w:after="240" w:line="360" w:lineRule="auto"/>
        <w:jc w:val="both"/>
        <w:rPr>
          <w:rFonts w:ascii="Century" w:hAnsi="Century"/>
          <w:sz w:val="24"/>
          <w:szCs w:val="24"/>
        </w:rPr>
      </w:pPr>
      <w:r w:rsidRPr="002C13F3">
        <w:rPr>
          <w:rFonts w:ascii="Century" w:hAnsi="Century"/>
          <w:sz w:val="24"/>
          <w:szCs w:val="24"/>
        </w:rPr>
        <w:tab/>
        <w:t xml:space="preserve">El </w:t>
      </w:r>
      <w:r w:rsidR="002E0BAD">
        <w:rPr>
          <w:rFonts w:ascii="Century" w:hAnsi="Century"/>
          <w:sz w:val="24"/>
          <w:szCs w:val="24"/>
        </w:rPr>
        <w:t xml:space="preserve">referido </w:t>
      </w:r>
      <w:r w:rsidRPr="002C13F3">
        <w:rPr>
          <w:rFonts w:ascii="Century" w:hAnsi="Century"/>
          <w:sz w:val="24"/>
          <w:szCs w:val="24"/>
        </w:rPr>
        <w:t xml:space="preserve">Tratado recoge la discriminación por razón de la nacionalidad, y no establece expresamente la discriminación por razón de la residencia. Así, el art. 18 del TFUE considera que la primera se prohíbe en el ámbito de aplicación de los Tratados. Esta discriminación está </w:t>
      </w:r>
      <w:r w:rsidRPr="002C13F3">
        <w:rPr>
          <w:rFonts w:ascii="Century" w:hAnsi="Century"/>
          <w:sz w:val="24"/>
          <w:szCs w:val="24"/>
        </w:rPr>
        <w:lastRenderedPageBreak/>
        <w:t>relacionada con los derechos de ciudadanía recogidos en</w:t>
      </w:r>
      <w:r w:rsidR="002E0BAD">
        <w:rPr>
          <w:rFonts w:ascii="Century" w:hAnsi="Century"/>
          <w:sz w:val="24"/>
          <w:szCs w:val="24"/>
        </w:rPr>
        <w:t xml:space="preserve"> el art. 21 del TFUE. E</w:t>
      </w:r>
      <w:r w:rsidRPr="002C13F3">
        <w:rPr>
          <w:rFonts w:ascii="Century" w:hAnsi="Century"/>
          <w:sz w:val="24"/>
          <w:szCs w:val="24"/>
        </w:rPr>
        <w:t>ste artículo establece que los ciudadanos de la UE tienen el derecho de circular y residir libremente en el territor</w:t>
      </w:r>
      <w:r w:rsidR="004962F7">
        <w:rPr>
          <w:rFonts w:ascii="Century" w:hAnsi="Century"/>
          <w:sz w:val="24"/>
          <w:szCs w:val="24"/>
        </w:rPr>
        <w:t>io de los</w:t>
      </w:r>
      <w:r w:rsidR="002E0BAD">
        <w:rPr>
          <w:rFonts w:ascii="Century" w:hAnsi="Century"/>
          <w:sz w:val="24"/>
          <w:szCs w:val="24"/>
        </w:rPr>
        <w:t xml:space="preserve"> EM, entre otros. L</w:t>
      </w:r>
      <w:r w:rsidRPr="002C13F3">
        <w:rPr>
          <w:rFonts w:ascii="Century" w:hAnsi="Century"/>
          <w:sz w:val="24"/>
          <w:szCs w:val="24"/>
        </w:rPr>
        <w:t xml:space="preserve">os derechos de ciudadanía se fundamentan en que un nacional de un Estado no puede ser objeto de discriminaciones cuando ejerza sus derechos en cualquier Estado miembro. De esta manera, los EM deben respetar el Derecho </w:t>
      </w:r>
      <w:r w:rsidR="004962F7">
        <w:rPr>
          <w:rFonts w:ascii="Century" w:hAnsi="Century"/>
          <w:sz w:val="24"/>
          <w:szCs w:val="24"/>
        </w:rPr>
        <w:t>de la Unión</w:t>
      </w:r>
      <w:r w:rsidRPr="002C13F3">
        <w:rPr>
          <w:rFonts w:ascii="Century" w:hAnsi="Century"/>
          <w:sz w:val="24"/>
          <w:szCs w:val="24"/>
        </w:rPr>
        <w:t xml:space="preserve"> y las disposiciones del Tratado por las que se considera reconocido el derecho de la libertad de circular y residir a los ciudadanos de la UE en el territorio de los EM, y en los que se exige el mismo trato jurídico en todos los EM, tanto al ciudadano de la UE como el que se otorga a los nacionales que se encuentren en la misma circunstancia. </w:t>
      </w:r>
      <w:r w:rsidR="002E0BAD">
        <w:rPr>
          <w:rFonts w:ascii="Century" w:hAnsi="Century"/>
          <w:sz w:val="24"/>
          <w:szCs w:val="24"/>
        </w:rPr>
        <w:t>De acuerdo con ello, s</w:t>
      </w:r>
      <w:r w:rsidRPr="002C13F3">
        <w:rPr>
          <w:rFonts w:ascii="Century" w:hAnsi="Century"/>
          <w:sz w:val="24"/>
          <w:szCs w:val="24"/>
        </w:rPr>
        <w:t>e tendrá que considerar incompatible con el art. 21.1 del TFUE aquélla normativa nacional que no sea favorable a determinados ciudadanos por el hecho de haber ejercitado su derecho de libertad de circular y residir en un Estado miembro distinto al de su nacionalidad</w:t>
      </w:r>
      <w:r w:rsidRPr="002C13F3">
        <w:rPr>
          <w:rStyle w:val="Refdenotaalpie"/>
          <w:rFonts w:ascii="Century" w:hAnsi="Century"/>
          <w:sz w:val="24"/>
          <w:szCs w:val="24"/>
        </w:rPr>
        <w:footnoteReference w:id="21"/>
      </w:r>
      <w:r w:rsidRPr="002C13F3">
        <w:rPr>
          <w:rFonts w:ascii="Century" w:hAnsi="Century"/>
          <w:sz w:val="24"/>
          <w:szCs w:val="24"/>
        </w:rPr>
        <w:t>.</w:t>
      </w:r>
    </w:p>
    <w:p w:rsidR="002D11BC" w:rsidRDefault="003126CE" w:rsidP="002D11BC">
      <w:pPr>
        <w:autoSpaceDE w:val="0"/>
        <w:autoSpaceDN w:val="0"/>
        <w:adjustRightInd w:val="0"/>
        <w:spacing w:after="240" w:line="360" w:lineRule="auto"/>
        <w:jc w:val="both"/>
        <w:rPr>
          <w:rFonts w:ascii="Century" w:hAnsi="Century"/>
          <w:sz w:val="24"/>
          <w:szCs w:val="24"/>
        </w:rPr>
      </w:pPr>
      <w:r w:rsidRPr="002C13F3">
        <w:rPr>
          <w:rFonts w:ascii="Century" w:hAnsi="Century"/>
          <w:sz w:val="24"/>
          <w:szCs w:val="24"/>
        </w:rPr>
        <w:tab/>
      </w:r>
      <w:r w:rsidR="002E0BAD">
        <w:rPr>
          <w:rFonts w:ascii="Century" w:hAnsi="Century"/>
          <w:sz w:val="24"/>
          <w:szCs w:val="24"/>
        </w:rPr>
        <w:t>Por su parte, e</w:t>
      </w:r>
      <w:r w:rsidRPr="002C13F3">
        <w:rPr>
          <w:rFonts w:ascii="Century" w:hAnsi="Century"/>
          <w:sz w:val="24"/>
          <w:szCs w:val="24"/>
        </w:rPr>
        <w:t>l Modelo de Convenio Tributario sobre la Renta y sobre el Patrimonio de 22 de julio de 2010 hace referencia a la no discriminación a nivel internacional en el art. 24.1,</w:t>
      </w:r>
      <w:r w:rsidR="002E0BAD">
        <w:rPr>
          <w:rFonts w:ascii="Century" w:hAnsi="Century"/>
          <w:sz w:val="24"/>
          <w:szCs w:val="24"/>
        </w:rPr>
        <w:t xml:space="preserve"> estableciendo</w:t>
      </w:r>
      <w:r w:rsidRPr="002C13F3">
        <w:rPr>
          <w:rFonts w:ascii="Century" w:hAnsi="Century"/>
          <w:sz w:val="24"/>
          <w:szCs w:val="24"/>
        </w:rPr>
        <w:t xml:space="preserve"> que los nacionales de un Estado no serán sometidos en otro Estado a ningún impuesto que no se exija o que sea más gravoso que aquellos a los que estén sometidos los nacionales de este último Estado que estén en las mismas situaciones, en particular con respecto a la residencia. De este modo, se intenta evitar que se adopten medidas de protección fiscal que puedan perjudicar a los nacionales de otros Estados, mediante el establecimiento de una carga fiscal más gravosa, y beneficiar a los nacionales que estén en la misma situación</w:t>
      </w:r>
      <w:r w:rsidRPr="002C13F3">
        <w:rPr>
          <w:rStyle w:val="Refdenotaalpie"/>
          <w:rFonts w:ascii="Century" w:hAnsi="Century"/>
          <w:sz w:val="24"/>
          <w:szCs w:val="24"/>
        </w:rPr>
        <w:footnoteReference w:id="22"/>
      </w:r>
      <w:r w:rsidR="002D11BC">
        <w:rPr>
          <w:rFonts w:ascii="Century" w:hAnsi="Century"/>
          <w:sz w:val="24"/>
          <w:szCs w:val="24"/>
        </w:rPr>
        <w:t>.</w:t>
      </w:r>
    </w:p>
    <w:p w:rsidR="003126CE" w:rsidRPr="002D11BC" w:rsidRDefault="00AB1475" w:rsidP="002D11BC">
      <w:pPr>
        <w:autoSpaceDE w:val="0"/>
        <w:autoSpaceDN w:val="0"/>
        <w:adjustRightInd w:val="0"/>
        <w:spacing w:after="240" w:line="360" w:lineRule="auto"/>
        <w:ind w:firstLine="708"/>
        <w:jc w:val="both"/>
        <w:rPr>
          <w:rFonts w:ascii="Century" w:hAnsi="Century"/>
          <w:sz w:val="24"/>
          <w:szCs w:val="24"/>
        </w:rPr>
      </w:pPr>
      <w:r w:rsidRPr="002C13F3">
        <w:rPr>
          <w:rFonts w:ascii="Century" w:hAnsi="Century" w:cs="Arial"/>
          <w:bCs/>
          <w:sz w:val="24"/>
          <w:szCs w:val="24"/>
        </w:rPr>
        <w:lastRenderedPageBreak/>
        <w:t xml:space="preserve">RODRÍGUEZ ONDARZA </w:t>
      </w:r>
      <w:r w:rsidR="002E0BAD">
        <w:rPr>
          <w:rFonts w:ascii="Century" w:hAnsi="Century" w:cs="Arial"/>
          <w:bCs/>
          <w:sz w:val="24"/>
          <w:szCs w:val="24"/>
        </w:rPr>
        <w:t>señala</w:t>
      </w:r>
      <w:r w:rsidR="003126CE" w:rsidRPr="002C13F3">
        <w:rPr>
          <w:rFonts w:ascii="Century" w:hAnsi="Century" w:cs="Arial"/>
          <w:bCs/>
          <w:sz w:val="24"/>
          <w:szCs w:val="24"/>
        </w:rPr>
        <w:t xml:space="preserve"> que la interpretación </w:t>
      </w:r>
      <w:r w:rsidR="00695304">
        <w:rPr>
          <w:rFonts w:ascii="Century" w:hAnsi="Century" w:cs="Arial"/>
          <w:bCs/>
          <w:sz w:val="24"/>
          <w:szCs w:val="24"/>
        </w:rPr>
        <w:t xml:space="preserve">respecto a que </w:t>
      </w:r>
      <w:r w:rsidR="003126CE" w:rsidRPr="002C13F3">
        <w:rPr>
          <w:rFonts w:ascii="Century" w:hAnsi="Century" w:cs="Arial"/>
          <w:bCs/>
          <w:sz w:val="24"/>
          <w:szCs w:val="24"/>
        </w:rPr>
        <w:t>los nacionales</w:t>
      </w:r>
      <w:r w:rsidRPr="002C13F3">
        <w:rPr>
          <w:rFonts w:ascii="Century" w:hAnsi="Century" w:cs="Arial"/>
          <w:bCs/>
          <w:sz w:val="24"/>
          <w:szCs w:val="24"/>
        </w:rPr>
        <w:t xml:space="preserve"> </w:t>
      </w:r>
      <w:r w:rsidR="003126CE" w:rsidRPr="002C13F3">
        <w:rPr>
          <w:rFonts w:ascii="Century" w:hAnsi="Century" w:cs="Arial"/>
          <w:bCs/>
          <w:sz w:val="24"/>
          <w:szCs w:val="24"/>
        </w:rPr>
        <w:t>de un Estado no serán sometidos en otro Estado a ningún impuesto u obligación relativa al mismo que no se exijan o que sean más gravosos, consiste en que la imposición aplicada a residentes nacionales y no nacionales que se encuentren en las mismas condiciones debe ser idéntica, que los sistemas que determinen la base imponible y la liquidación sean similares y sus tipos impositivos iguales y, además, que no se impongan obligaciones formales más gravosas a los residentes no nacionales que a los nacionales. La expresión “se encuentren en las mismas co</w:t>
      </w:r>
      <w:r w:rsidR="00695304">
        <w:rPr>
          <w:rFonts w:ascii="Century" w:hAnsi="Century" w:cs="Arial"/>
          <w:bCs/>
          <w:sz w:val="24"/>
          <w:szCs w:val="24"/>
        </w:rPr>
        <w:t>ndiciones” debe interpretarse con</w:t>
      </w:r>
      <w:r w:rsidR="003126CE" w:rsidRPr="002C13F3">
        <w:rPr>
          <w:rFonts w:ascii="Century" w:hAnsi="Century" w:cs="Arial"/>
          <w:bCs/>
          <w:sz w:val="24"/>
          <w:szCs w:val="24"/>
        </w:rPr>
        <w:t xml:space="preserve"> relación a contribuyentes, tanto personas físicas como personas jurídicas, que estén en unas circunstancias de hecho y de derecho similares con respecto a la aplicación de la normativa fiscal de carácter general. </w:t>
      </w:r>
    </w:p>
    <w:p w:rsidR="003126CE" w:rsidRPr="002C13F3" w:rsidRDefault="00107E95" w:rsidP="002D11BC">
      <w:pPr>
        <w:spacing w:after="240" w:line="360" w:lineRule="auto"/>
        <w:jc w:val="both"/>
        <w:rPr>
          <w:rFonts w:ascii="Century" w:hAnsi="Century" w:cs="Arial"/>
          <w:sz w:val="24"/>
          <w:szCs w:val="24"/>
        </w:rPr>
      </w:pPr>
      <w:r>
        <w:rPr>
          <w:rFonts w:ascii="Century" w:hAnsi="Century" w:cs="Arial"/>
          <w:bCs/>
          <w:sz w:val="24"/>
          <w:szCs w:val="24"/>
        </w:rPr>
        <w:tab/>
      </w:r>
      <w:r w:rsidR="002E0BAD">
        <w:rPr>
          <w:rFonts w:ascii="Century" w:hAnsi="Century" w:cs="Arial"/>
          <w:bCs/>
          <w:sz w:val="24"/>
          <w:szCs w:val="24"/>
        </w:rPr>
        <w:t>Sigue indicando el referido autor que en</w:t>
      </w:r>
      <w:r w:rsidR="003126CE" w:rsidRPr="002C13F3">
        <w:rPr>
          <w:rFonts w:ascii="Century" w:hAnsi="Century" w:cs="Arial"/>
          <w:bCs/>
          <w:sz w:val="24"/>
          <w:szCs w:val="24"/>
        </w:rPr>
        <w:t xml:space="preserve"> el citado Modelo, la expresión “con respecto a la residencia” es simplemente aclaratoria, ya que un contribuyente residente y otro no residente se puede decir que no se encuentran en las mismas condiciones.</w:t>
      </w:r>
      <w:r w:rsidR="00264FB8" w:rsidRPr="002C13F3">
        <w:rPr>
          <w:rFonts w:ascii="Century" w:hAnsi="Century" w:cs="Arial"/>
          <w:bCs/>
          <w:sz w:val="24"/>
          <w:szCs w:val="24"/>
        </w:rPr>
        <w:t xml:space="preserve"> </w:t>
      </w:r>
      <w:r w:rsidR="003126CE" w:rsidRPr="002C13F3">
        <w:rPr>
          <w:rFonts w:ascii="Century" w:hAnsi="Century" w:cs="Arial"/>
          <w:sz w:val="24"/>
          <w:szCs w:val="24"/>
        </w:rPr>
        <w:t>Por tanto, si existe reciprocidad, los nacionales de un Estado no pueden recibir un trato menos favorable en otro Estado que aquél que reciban los nacionales de este último Estado, siempre y cuando se encuentren “en las mismas condiciones”. Es decir, aquellos contribuyentes que se encuentren en similares situaciones de hecho y de derecho, en relación con la aplicación de la legislación y reglamentación tributaria de carácter general</w:t>
      </w:r>
      <w:r w:rsidR="003126CE" w:rsidRPr="002C13F3">
        <w:rPr>
          <w:rStyle w:val="Refdenotaalpie"/>
          <w:rFonts w:ascii="Century" w:hAnsi="Century" w:cs="Arial"/>
          <w:sz w:val="24"/>
          <w:szCs w:val="24"/>
        </w:rPr>
        <w:footnoteReference w:id="23"/>
      </w:r>
      <w:r w:rsidR="003126CE" w:rsidRPr="002C13F3">
        <w:rPr>
          <w:rFonts w:ascii="Century" w:hAnsi="Century" w:cs="Arial"/>
          <w:sz w:val="24"/>
          <w:szCs w:val="24"/>
        </w:rPr>
        <w:t xml:space="preserve">. </w:t>
      </w:r>
    </w:p>
    <w:p w:rsidR="003126CE" w:rsidRPr="002C13F3" w:rsidRDefault="003126CE" w:rsidP="002D11BC">
      <w:pPr>
        <w:autoSpaceDE w:val="0"/>
        <w:autoSpaceDN w:val="0"/>
        <w:adjustRightInd w:val="0"/>
        <w:spacing w:after="240" w:line="360" w:lineRule="auto"/>
        <w:jc w:val="both"/>
        <w:rPr>
          <w:rFonts w:ascii="Century" w:hAnsi="Century" w:cs="Arial"/>
          <w:sz w:val="24"/>
          <w:szCs w:val="24"/>
        </w:rPr>
      </w:pPr>
      <w:r w:rsidRPr="002C13F3">
        <w:rPr>
          <w:rFonts w:ascii="Century" w:hAnsi="Century" w:cs="Arial"/>
          <w:sz w:val="24"/>
          <w:szCs w:val="24"/>
        </w:rPr>
        <w:tab/>
      </w:r>
      <w:r w:rsidR="002E0BAD">
        <w:rPr>
          <w:rFonts w:ascii="Century" w:hAnsi="Century" w:cs="Arial"/>
          <w:sz w:val="24"/>
          <w:szCs w:val="24"/>
        </w:rPr>
        <w:t>El</w:t>
      </w:r>
      <w:r w:rsidRPr="002C13F3">
        <w:rPr>
          <w:rFonts w:ascii="Century" w:hAnsi="Century" w:cs="Arial"/>
          <w:sz w:val="24"/>
          <w:szCs w:val="24"/>
        </w:rPr>
        <w:t xml:space="preserve"> TJUE amplió el principio de discriminación a la residencia</w:t>
      </w:r>
      <w:r w:rsidR="002E0BAD">
        <w:rPr>
          <w:rFonts w:ascii="Century" w:hAnsi="Century" w:cs="Arial"/>
          <w:sz w:val="24"/>
          <w:szCs w:val="24"/>
        </w:rPr>
        <w:t>, al establecer que los EM debían</w:t>
      </w:r>
      <w:r w:rsidRPr="002C13F3">
        <w:rPr>
          <w:rFonts w:ascii="Century" w:hAnsi="Century" w:cs="Arial"/>
          <w:sz w:val="24"/>
          <w:szCs w:val="24"/>
        </w:rPr>
        <w:t xml:space="preserve"> suprimir progresivamente</w:t>
      </w:r>
      <w:r w:rsidR="002E0BAD">
        <w:rPr>
          <w:rFonts w:ascii="Century" w:hAnsi="Century" w:cs="Arial"/>
          <w:sz w:val="24"/>
          <w:szCs w:val="24"/>
        </w:rPr>
        <w:t>,</w:t>
      </w:r>
      <w:r w:rsidRPr="002C13F3">
        <w:rPr>
          <w:rFonts w:ascii="Century" w:hAnsi="Century" w:cs="Arial"/>
          <w:sz w:val="24"/>
          <w:szCs w:val="24"/>
        </w:rPr>
        <w:t xml:space="preserve"> en la medida necesaria para el buen funcionamiento del mercado interior, las discriminaciones de trato por razón de la nacionalidad o residencia.</w:t>
      </w:r>
      <w:r w:rsidR="002E0BAD">
        <w:rPr>
          <w:rFonts w:ascii="Century" w:hAnsi="Century" w:cs="Arial"/>
          <w:sz w:val="24"/>
          <w:szCs w:val="24"/>
        </w:rPr>
        <w:t xml:space="preserve"> De este modo, considera</w:t>
      </w:r>
      <w:r w:rsidRPr="002C13F3">
        <w:rPr>
          <w:rFonts w:ascii="Century" w:hAnsi="Century" w:cs="Arial"/>
          <w:sz w:val="24"/>
          <w:szCs w:val="24"/>
        </w:rPr>
        <w:t xml:space="preserve"> qu</w:t>
      </w:r>
      <w:r w:rsidR="002E0BAD">
        <w:rPr>
          <w:rFonts w:ascii="Century" w:hAnsi="Century" w:cs="Arial"/>
          <w:sz w:val="24"/>
          <w:szCs w:val="24"/>
        </w:rPr>
        <w:t>e una diferencia de trato basada</w:t>
      </w:r>
      <w:r w:rsidRPr="002C13F3">
        <w:rPr>
          <w:rFonts w:ascii="Century" w:hAnsi="Century" w:cs="Arial"/>
          <w:sz w:val="24"/>
          <w:szCs w:val="24"/>
        </w:rPr>
        <w:t xml:space="preserve"> en este último c</w:t>
      </w:r>
      <w:r w:rsidR="002E0BAD">
        <w:rPr>
          <w:rFonts w:ascii="Century" w:hAnsi="Century" w:cs="Arial"/>
          <w:sz w:val="24"/>
          <w:szCs w:val="24"/>
        </w:rPr>
        <w:t xml:space="preserve">oncepto </w:t>
      </w:r>
      <w:r w:rsidR="002E0BAD">
        <w:rPr>
          <w:rFonts w:ascii="Century" w:hAnsi="Century" w:cs="Arial"/>
          <w:sz w:val="24"/>
          <w:szCs w:val="24"/>
        </w:rPr>
        <w:lastRenderedPageBreak/>
        <w:t>también se considera discriminación. Y así</w:t>
      </w:r>
      <w:r w:rsidRPr="002C13F3">
        <w:rPr>
          <w:rFonts w:ascii="Century" w:hAnsi="Century" w:cs="Arial"/>
          <w:sz w:val="24"/>
          <w:szCs w:val="24"/>
        </w:rPr>
        <w:t>, la discriminación del no residente puede derivarse no sólo por razón de nacionalidad, sino también por diferencias fundadas en la residencia</w:t>
      </w:r>
      <w:r w:rsidRPr="002C13F3">
        <w:rPr>
          <w:rStyle w:val="Refdenotaalpie"/>
          <w:rFonts w:ascii="Century" w:hAnsi="Century" w:cs="Arial"/>
          <w:sz w:val="24"/>
          <w:szCs w:val="24"/>
        </w:rPr>
        <w:footnoteReference w:id="24"/>
      </w:r>
      <w:r w:rsidRPr="002C13F3">
        <w:rPr>
          <w:rFonts w:ascii="Century" w:hAnsi="Century" w:cs="Arial"/>
          <w:sz w:val="24"/>
          <w:szCs w:val="24"/>
        </w:rPr>
        <w:t>.</w:t>
      </w:r>
    </w:p>
    <w:p w:rsidR="003126CE" w:rsidRDefault="003126CE" w:rsidP="002D11BC">
      <w:pPr>
        <w:autoSpaceDE w:val="0"/>
        <w:autoSpaceDN w:val="0"/>
        <w:adjustRightInd w:val="0"/>
        <w:spacing w:after="240" w:line="360" w:lineRule="auto"/>
        <w:jc w:val="both"/>
        <w:rPr>
          <w:rFonts w:ascii="Century" w:hAnsi="Century"/>
          <w:noProof/>
          <w:sz w:val="24"/>
          <w:szCs w:val="24"/>
          <w:lang w:val="es-ES_tradnl"/>
        </w:rPr>
      </w:pPr>
      <w:r w:rsidRPr="002C13F3">
        <w:rPr>
          <w:rFonts w:ascii="Century" w:hAnsi="Century"/>
          <w:sz w:val="24"/>
          <w:szCs w:val="24"/>
        </w:rPr>
        <w:tab/>
      </w:r>
      <w:r w:rsidRPr="002C13F3">
        <w:rPr>
          <w:rFonts w:ascii="Century" w:hAnsi="Century"/>
          <w:noProof/>
          <w:sz w:val="24"/>
          <w:szCs w:val="24"/>
          <w:lang w:val="es-ES_tradnl"/>
        </w:rPr>
        <w:t>El principio de no discriminación es</w:t>
      </w:r>
      <w:r w:rsidR="002E0BAD">
        <w:rPr>
          <w:rFonts w:ascii="Century" w:hAnsi="Century"/>
          <w:noProof/>
          <w:sz w:val="24"/>
          <w:szCs w:val="24"/>
          <w:lang w:val="es-ES_tradnl"/>
        </w:rPr>
        <w:t>, en definitiva,</w:t>
      </w:r>
      <w:r w:rsidRPr="002C13F3">
        <w:rPr>
          <w:rFonts w:ascii="Century" w:hAnsi="Century"/>
          <w:noProof/>
          <w:sz w:val="24"/>
          <w:szCs w:val="24"/>
          <w:lang w:val="es-ES_tradnl"/>
        </w:rPr>
        <w:t xml:space="preserve"> un elemento esencial de las libertades fundamentales del Tratado. </w:t>
      </w:r>
      <w:r w:rsidR="002E0BAD">
        <w:rPr>
          <w:rFonts w:ascii="Century" w:hAnsi="Century"/>
          <w:noProof/>
          <w:sz w:val="24"/>
          <w:szCs w:val="24"/>
          <w:lang w:val="es-ES_tradnl"/>
        </w:rPr>
        <w:t>De acuerdo con ello, l</w:t>
      </w:r>
      <w:r w:rsidRPr="002C13F3">
        <w:rPr>
          <w:rFonts w:ascii="Century" w:hAnsi="Century"/>
          <w:noProof/>
          <w:sz w:val="24"/>
          <w:szCs w:val="24"/>
          <w:lang w:val="es-ES_tradnl"/>
        </w:rPr>
        <w:t>a Comisión ha</w:t>
      </w:r>
      <w:r w:rsidR="002E0BAD">
        <w:rPr>
          <w:rFonts w:ascii="Century" w:hAnsi="Century"/>
          <w:noProof/>
          <w:sz w:val="24"/>
          <w:szCs w:val="24"/>
          <w:lang w:val="es-ES_tradnl"/>
        </w:rPr>
        <w:t xml:space="preserve"> incoado </w:t>
      </w:r>
      <w:r w:rsidRPr="002C13F3">
        <w:rPr>
          <w:rFonts w:ascii="Century" w:hAnsi="Century"/>
          <w:noProof/>
          <w:sz w:val="24"/>
          <w:szCs w:val="24"/>
          <w:lang w:val="es-ES_tradnl"/>
        </w:rPr>
        <w:t xml:space="preserve">procedimientos de infracción contra varios EM por </w:t>
      </w:r>
      <w:r w:rsidR="00852A42">
        <w:rPr>
          <w:rFonts w:ascii="Century" w:hAnsi="Century"/>
          <w:noProof/>
          <w:sz w:val="24"/>
          <w:szCs w:val="24"/>
          <w:lang w:val="es-ES_tradnl"/>
        </w:rPr>
        <w:t>cierto</w:t>
      </w:r>
      <w:r w:rsidRPr="002C13F3">
        <w:rPr>
          <w:rFonts w:ascii="Century" w:hAnsi="Century"/>
          <w:noProof/>
          <w:sz w:val="24"/>
          <w:szCs w:val="24"/>
          <w:lang w:val="es-ES_tradnl"/>
        </w:rPr>
        <w:t>s aspectos d</w:t>
      </w:r>
      <w:r w:rsidR="00852A42">
        <w:rPr>
          <w:rFonts w:ascii="Century" w:hAnsi="Century"/>
          <w:noProof/>
          <w:sz w:val="24"/>
          <w:szCs w:val="24"/>
          <w:lang w:val="es-ES_tradnl"/>
        </w:rPr>
        <w:t>e sus legislaciones, eleva</w:t>
      </w:r>
      <w:r w:rsidR="002E0BAD">
        <w:rPr>
          <w:rFonts w:ascii="Century" w:hAnsi="Century"/>
          <w:noProof/>
          <w:sz w:val="24"/>
          <w:szCs w:val="24"/>
          <w:lang w:val="es-ES_tradnl"/>
        </w:rPr>
        <w:t xml:space="preserve">ndo los asuntos </w:t>
      </w:r>
      <w:r w:rsidRPr="002C13F3">
        <w:rPr>
          <w:rFonts w:ascii="Century" w:hAnsi="Century"/>
          <w:noProof/>
          <w:sz w:val="24"/>
          <w:szCs w:val="24"/>
          <w:lang w:val="es-ES_tradnl"/>
        </w:rPr>
        <w:t xml:space="preserve">al TJUE. Según jurisprudencia reiterada, la discriminación puede derivarse de trato distinto de situaciones comparables o del trato idéntico de situaciones diferentes. Para que un régimen nacional que establezca una diferencia de trato sea compatible con las libertades establecidas en el Tratado, debe tratarse de situaciones que no sean comparables, o debe estar justificado objetivamente por una razón imperiosa de interés general. </w:t>
      </w:r>
      <w:r w:rsidR="002E0BAD">
        <w:rPr>
          <w:rFonts w:ascii="Century" w:hAnsi="Century"/>
          <w:noProof/>
          <w:sz w:val="24"/>
          <w:szCs w:val="24"/>
          <w:lang w:val="es-ES_tradnl"/>
        </w:rPr>
        <w:t>E</w:t>
      </w:r>
      <w:r w:rsidRPr="002C13F3">
        <w:rPr>
          <w:rFonts w:ascii="Century" w:hAnsi="Century"/>
          <w:noProof/>
          <w:sz w:val="24"/>
          <w:szCs w:val="24"/>
          <w:lang w:val="es-ES_tradnl"/>
        </w:rPr>
        <w:t>se régimen nacional no podrá en ningún caso</w:t>
      </w:r>
      <w:r w:rsidR="002E0BAD">
        <w:rPr>
          <w:rFonts w:ascii="Century" w:hAnsi="Century"/>
          <w:noProof/>
          <w:sz w:val="24"/>
          <w:szCs w:val="24"/>
          <w:lang w:val="es-ES_tradnl"/>
        </w:rPr>
        <w:t>, además,</w:t>
      </w:r>
      <w:r w:rsidRPr="002C13F3">
        <w:rPr>
          <w:rFonts w:ascii="Century" w:hAnsi="Century"/>
          <w:noProof/>
          <w:sz w:val="24"/>
          <w:szCs w:val="24"/>
          <w:lang w:val="es-ES_tradnl"/>
        </w:rPr>
        <w:t xml:space="preserve"> ser más restrictivo de lo necesario para alcanzar el objetivo perseguido, es decir, deberá ser proporcionado</w:t>
      </w:r>
      <w:r w:rsidRPr="002C13F3">
        <w:rPr>
          <w:rStyle w:val="Refdenotaalpie"/>
          <w:rFonts w:ascii="Century" w:hAnsi="Century"/>
          <w:noProof/>
          <w:sz w:val="24"/>
          <w:szCs w:val="24"/>
          <w:lang w:val="es-ES_tradnl"/>
        </w:rPr>
        <w:footnoteReference w:id="25"/>
      </w:r>
      <w:r w:rsidRPr="002C13F3">
        <w:rPr>
          <w:rFonts w:ascii="Century" w:hAnsi="Century"/>
          <w:noProof/>
          <w:sz w:val="24"/>
          <w:szCs w:val="24"/>
          <w:lang w:val="es-ES_tradnl"/>
        </w:rPr>
        <w:t>.</w:t>
      </w:r>
      <w:r w:rsidR="00015A2D">
        <w:rPr>
          <w:rFonts w:ascii="Century" w:hAnsi="Century"/>
          <w:noProof/>
          <w:sz w:val="24"/>
          <w:szCs w:val="24"/>
          <w:lang w:val="es-ES_tradnl"/>
        </w:rPr>
        <w:t xml:space="preserve"> </w:t>
      </w:r>
      <w:r w:rsidR="002E0BAD">
        <w:rPr>
          <w:rFonts w:ascii="Century" w:hAnsi="Century"/>
          <w:noProof/>
          <w:sz w:val="24"/>
          <w:szCs w:val="24"/>
          <w:lang w:val="es-ES_tradnl"/>
        </w:rPr>
        <w:t>E</w:t>
      </w:r>
      <w:r w:rsidRPr="002C13F3">
        <w:rPr>
          <w:rFonts w:ascii="Century" w:hAnsi="Century"/>
          <w:noProof/>
          <w:sz w:val="24"/>
          <w:szCs w:val="24"/>
          <w:lang w:val="es-ES_tradnl"/>
        </w:rPr>
        <w:t>l Tribunal pretende asentar</w:t>
      </w:r>
      <w:r w:rsidR="00015A2D">
        <w:rPr>
          <w:rFonts w:ascii="Century" w:hAnsi="Century"/>
          <w:noProof/>
          <w:sz w:val="24"/>
          <w:szCs w:val="24"/>
          <w:lang w:val="es-ES_tradnl"/>
        </w:rPr>
        <w:t>, en definitiva, el criterio de</w:t>
      </w:r>
      <w:r w:rsidRPr="002C13F3">
        <w:rPr>
          <w:rFonts w:ascii="Century" w:hAnsi="Century"/>
          <w:noProof/>
          <w:sz w:val="24"/>
          <w:szCs w:val="24"/>
          <w:lang w:val="es-ES_tradnl"/>
        </w:rPr>
        <w:t xml:space="preserve"> que los EM deben ser neutrales en materia fiscal y suprimir las normas de Derecho interno que traten de establecer una restricción a dichas libertades y que finalmente terminen en una discrim</w:t>
      </w:r>
      <w:r w:rsidR="002E0BAD">
        <w:rPr>
          <w:rFonts w:ascii="Century" w:hAnsi="Century"/>
          <w:noProof/>
          <w:sz w:val="24"/>
          <w:szCs w:val="24"/>
          <w:lang w:val="es-ES_tradnl"/>
        </w:rPr>
        <w:t xml:space="preserve">inación del no residente que </w:t>
      </w:r>
      <w:r w:rsidRPr="002C13F3">
        <w:rPr>
          <w:rFonts w:ascii="Century" w:hAnsi="Century"/>
          <w:noProof/>
          <w:sz w:val="24"/>
          <w:szCs w:val="24"/>
          <w:lang w:val="es-ES_tradnl"/>
        </w:rPr>
        <w:t>se encuentre en una situación similar a la del residente del Estado en cuestión.</w:t>
      </w:r>
    </w:p>
    <w:p w:rsidR="003126CE" w:rsidRPr="002C13F3" w:rsidRDefault="003126CE" w:rsidP="002D11BC">
      <w:pPr>
        <w:autoSpaceDE w:val="0"/>
        <w:autoSpaceDN w:val="0"/>
        <w:adjustRightInd w:val="0"/>
        <w:spacing w:after="240" w:line="360" w:lineRule="auto"/>
        <w:jc w:val="both"/>
        <w:rPr>
          <w:rFonts w:ascii="Century" w:hAnsi="Century" w:cs="TimesNewRoman"/>
          <w:sz w:val="24"/>
          <w:szCs w:val="24"/>
        </w:rPr>
      </w:pPr>
      <w:r w:rsidRPr="002C13F3">
        <w:rPr>
          <w:rFonts w:ascii="Century" w:hAnsi="Century"/>
          <w:noProof/>
          <w:lang w:val="es-ES_tradnl"/>
        </w:rPr>
        <w:tab/>
      </w:r>
      <w:r w:rsidRPr="002C13F3">
        <w:rPr>
          <w:rFonts w:ascii="Century" w:hAnsi="Century" w:cs="TimesNewRoman"/>
          <w:sz w:val="24"/>
          <w:szCs w:val="24"/>
        </w:rPr>
        <w:t xml:space="preserve">En la Comunicación, </w:t>
      </w:r>
      <w:r w:rsidR="002E0BAD">
        <w:rPr>
          <w:rFonts w:ascii="Century" w:hAnsi="Century" w:cs="TimesNewRoman"/>
          <w:sz w:val="24"/>
          <w:szCs w:val="24"/>
        </w:rPr>
        <w:t xml:space="preserve">por su parte, </w:t>
      </w:r>
      <w:r w:rsidRPr="002C13F3">
        <w:rPr>
          <w:rFonts w:ascii="Century" w:hAnsi="Century" w:cs="TimesNewRoman"/>
          <w:sz w:val="24"/>
          <w:szCs w:val="24"/>
        </w:rPr>
        <w:t xml:space="preserve">la Comisión </w:t>
      </w:r>
      <w:r w:rsidR="002E0BAD">
        <w:rPr>
          <w:rFonts w:ascii="Century" w:hAnsi="Century" w:cs="TimesNewRoman"/>
          <w:sz w:val="24"/>
          <w:szCs w:val="24"/>
        </w:rPr>
        <w:t>señala que</w:t>
      </w:r>
      <w:r w:rsidRPr="002C13F3">
        <w:rPr>
          <w:rFonts w:ascii="Century" w:hAnsi="Century" w:cs="TimesNewRoman"/>
          <w:sz w:val="24"/>
          <w:szCs w:val="24"/>
        </w:rPr>
        <w:t xml:space="preserve"> los ciudadanos de la UE deberían de tene</w:t>
      </w:r>
      <w:r w:rsidR="002E0BAD">
        <w:rPr>
          <w:rFonts w:ascii="Century" w:hAnsi="Century" w:cs="TimesNewRoman"/>
          <w:sz w:val="24"/>
          <w:szCs w:val="24"/>
        </w:rPr>
        <w:t>r una mayor percepción sobre l</w:t>
      </w:r>
      <w:r w:rsidRPr="002C13F3">
        <w:rPr>
          <w:rFonts w:ascii="Century" w:hAnsi="Century" w:cs="TimesNewRoman"/>
          <w:sz w:val="24"/>
          <w:szCs w:val="24"/>
        </w:rPr>
        <w:t>as normas</w:t>
      </w:r>
      <w:r w:rsidR="002E0BAD">
        <w:rPr>
          <w:rFonts w:ascii="Century" w:hAnsi="Century" w:cs="TimesNewRoman"/>
          <w:sz w:val="24"/>
          <w:szCs w:val="24"/>
        </w:rPr>
        <w:t xml:space="preserve"> de cada Estado</w:t>
      </w:r>
      <w:r w:rsidRPr="002C13F3">
        <w:rPr>
          <w:rFonts w:ascii="Century" w:hAnsi="Century" w:cs="TimesNewRoman"/>
          <w:sz w:val="24"/>
          <w:szCs w:val="24"/>
        </w:rPr>
        <w:t>, para reducirse las situacione</w:t>
      </w:r>
      <w:r w:rsidR="002E0BAD">
        <w:rPr>
          <w:rFonts w:ascii="Century" w:hAnsi="Century" w:cs="TimesNewRoman"/>
          <w:sz w:val="24"/>
          <w:szCs w:val="24"/>
        </w:rPr>
        <w:t>s discriminatorias. Por su</w:t>
      </w:r>
      <w:r w:rsidRPr="002C13F3">
        <w:rPr>
          <w:rFonts w:ascii="Century" w:hAnsi="Century" w:cs="TimesNewRoman"/>
          <w:sz w:val="24"/>
          <w:szCs w:val="24"/>
        </w:rPr>
        <w:t xml:space="preserve"> parte, el Documento de Trabajo puede orientar a los EM a adecuar las citadas normas al Derecho de la UE a través de</w:t>
      </w:r>
      <w:r w:rsidR="002E0BAD">
        <w:rPr>
          <w:rFonts w:ascii="Century" w:hAnsi="Century" w:cs="TimesNewRoman"/>
          <w:sz w:val="24"/>
          <w:szCs w:val="24"/>
        </w:rPr>
        <w:t xml:space="preserve">l seguimiento de ciertos </w:t>
      </w:r>
      <w:r w:rsidRPr="002C13F3">
        <w:rPr>
          <w:rFonts w:ascii="Century" w:hAnsi="Century" w:cs="TimesNewRoman"/>
          <w:sz w:val="24"/>
          <w:szCs w:val="24"/>
        </w:rPr>
        <w:t>principios derivados de la jurisprudencia sobre la imposición sucesoria</w:t>
      </w:r>
      <w:r w:rsidR="002E0BAD">
        <w:rPr>
          <w:rFonts w:ascii="Century" w:hAnsi="Century" w:cs="TimesNewRoman"/>
          <w:sz w:val="24"/>
          <w:szCs w:val="24"/>
        </w:rPr>
        <w:t>,</w:t>
      </w:r>
      <w:r w:rsidRPr="002C13F3">
        <w:rPr>
          <w:rFonts w:ascii="Century" w:hAnsi="Century" w:cs="TimesNewRoman"/>
          <w:sz w:val="24"/>
          <w:szCs w:val="24"/>
        </w:rPr>
        <w:t xml:space="preserve"> que deberían</w:t>
      </w:r>
      <w:r w:rsidR="002E0BAD">
        <w:rPr>
          <w:rFonts w:ascii="Century" w:hAnsi="Century" w:cs="TimesNewRoman"/>
          <w:sz w:val="24"/>
          <w:szCs w:val="24"/>
        </w:rPr>
        <w:t xml:space="preserve"> seguirse</w:t>
      </w:r>
      <w:r w:rsidRPr="002C13F3">
        <w:rPr>
          <w:rFonts w:ascii="Century" w:hAnsi="Century" w:cs="TimesNewRoman"/>
          <w:sz w:val="24"/>
          <w:szCs w:val="24"/>
        </w:rPr>
        <w:t xml:space="preserve"> en el diseño de regímenes tributarios en materia de </w:t>
      </w:r>
      <w:r w:rsidRPr="002C13F3">
        <w:rPr>
          <w:rFonts w:ascii="Century" w:hAnsi="Century" w:cs="TimesNewRoman"/>
          <w:sz w:val="24"/>
          <w:szCs w:val="24"/>
        </w:rPr>
        <w:lastRenderedPageBreak/>
        <w:t xml:space="preserve">sucesiones. </w:t>
      </w:r>
      <w:r w:rsidR="002E0BAD">
        <w:rPr>
          <w:rFonts w:ascii="Century" w:hAnsi="Century" w:cs="TimesNewRoman"/>
          <w:sz w:val="24"/>
          <w:szCs w:val="24"/>
        </w:rPr>
        <w:t xml:space="preserve">De efectuarse ese seguimiento, </w:t>
      </w:r>
      <w:r w:rsidRPr="002C13F3">
        <w:rPr>
          <w:rFonts w:ascii="Century" w:hAnsi="Century" w:cs="TimesNewRoman"/>
          <w:sz w:val="24"/>
          <w:szCs w:val="24"/>
        </w:rPr>
        <w:t>los ciudadanos de la UE podrían conocer mejor las normas que deben respetar los EM cuando gravan las sucesiones transfronterizas. La Comisión</w:t>
      </w:r>
      <w:r w:rsidR="00D046E6">
        <w:rPr>
          <w:rFonts w:ascii="Century" w:hAnsi="Century" w:cs="TimesNewRoman"/>
          <w:sz w:val="24"/>
          <w:szCs w:val="24"/>
        </w:rPr>
        <w:t>, además,</w:t>
      </w:r>
      <w:r w:rsidRPr="002C13F3">
        <w:rPr>
          <w:rFonts w:ascii="Century" w:hAnsi="Century" w:cs="TimesNewRoman"/>
          <w:sz w:val="24"/>
          <w:szCs w:val="24"/>
        </w:rPr>
        <w:t xml:space="preserve"> podría </w:t>
      </w:r>
      <w:r w:rsidR="001B0DB7">
        <w:rPr>
          <w:rFonts w:ascii="Century" w:hAnsi="Century" w:cs="TimesNewRoman"/>
          <w:sz w:val="24"/>
          <w:szCs w:val="24"/>
        </w:rPr>
        <w:t>establecer</w:t>
      </w:r>
      <w:r w:rsidRPr="002C13F3">
        <w:rPr>
          <w:rFonts w:ascii="Century" w:hAnsi="Century" w:cs="TimesNewRoman"/>
          <w:sz w:val="24"/>
          <w:szCs w:val="24"/>
        </w:rPr>
        <w:t xml:space="preserve"> la regla de que estos principios fueran adoptados co</w:t>
      </w:r>
      <w:r w:rsidR="002E0BAD">
        <w:rPr>
          <w:rFonts w:ascii="Century" w:hAnsi="Century" w:cs="TimesNewRoman"/>
          <w:sz w:val="24"/>
          <w:szCs w:val="24"/>
        </w:rPr>
        <w:t xml:space="preserve">mo normas obligatorias </w:t>
      </w:r>
      <w:r w:rsidRPr="002C13F3">
        <w:rPr>
          <w:rFonts w:ascii="Century" w:hAnsi="Century" w:cs="TimesNewRoman"/>
          <w:sz w:val="24"/>
          <w:szCs w:val="24"/>
        </w:rPr>
        <w:t>e</w:t>
      </w:r>
      <w:r w:rsidR="002E0BAD">
        <w:rPr>
          <w:rFonts w:ascii="Century" w:hAnsi="Century" w:cs="TimesNewRoman"/>
          <w:sz w:val="24"/>
          <w:szCs w:val="24"/>
        </w:rPr>
        <w:t>n</w:t>
      </w:r>
      <w:r w:rsidR="001B0DB7">
        <w:rPr>
          <w:rFonts w:ascii="Century" w:hAnsi="Century" w:cs="TimesNewRoman"/>
          <w:sz w:val="24"/>
          <w:szCs w:val="24"/>
        </w:rPr>
        <w:t xml:space="preserve"> el territorio de</w:t>
      </w:r>
      <w:r w:rsidRPr="002C13F3">
        <w:rPr>
          <w:rFonts w:ascii="Century" w:hAnsi="Century" w:cs="TimesNewRoman"/>
          <w:sz w:val="24"/>
          <w:szCs w:val="24"/>
        </w:rPr>
        <w:t xml:space="preserve"> la UE.</w:t>
      </w:r>
    </w:p>
    <w:p w:rsidR="003126CE" w:rsidRPr="002C13F3" w:rsidRDefault="003126CE" w:rsidP="002D11BC">
      <w:pPr>
        <w:autoSpaceDE w:val="0"/>
        <w:autoSpaceDN w:val="0"/>
        <w:adjustRightInd w:val="0"/>
        <w:spacing w:after="240" w:line="360" w:lineRule="auto"/>
        <w:jc w:val="both"/>
        <w:rPr>
          <w:rFonts w:ascii="Century" w:hAnsi="Century" w:cs="TimesNewRoman"/>
          <w:sz w:val="24"/>
          <w:szCs w:val="24"/>
        </w:rPr>
      </w:pPr>
      <w:r w:rsidRPr="002C13F3">
        <w:rPr>
          <w:rFonts w:ascii="Century" w:hAnsi="Century" w:cs="TimesNewRoman"/>
          <w:sz w:val="24"/>
          <w:szCs w:val="24"/>
        </w:rPr>
        <w:tab/>
      </w:r>
      <w:r w:rsidR="00062E44">
        <w:rPr>
          <w:rFonts w:ascii="Century" w:hAnsi="Century" w:cs="TimesNewRoman"/>
          <w:sz w:val="24"/>
          <w:szCs w:val="24"/>
        </w:rPr>
        <w:t>Respecto</w:t>
      </w:r>
      <w:r w:rsidRPr="002C13F3">
        <w:rPr>
          <w:rFonts w:ascii="Century" w:hAnsi="Century" w:cs="TimesNewRoman"/>
          <w:sz w:val="24"/>
          <w:szCs w:val="24"/>
        </w:rPr>
        <w:t xml:space="preserve"> al problema de la </w:t>
      </w:r>
      <w:r w:rsidRPr="00015A2D">
        <w:rPr>
          <w:rFonts w:ascii="Century" w:hAnsi="Century" w:cs="TimesNewRoman"/>
          <w:sz w:val="24"/>
          <w:szCs w:val="24"/>
        </w:rPr>
        <w:t>doble imposición</w:t>
      </w:r>
      <w:r w:rsidRPr="002C13F3">
        <w:rPr>
          <w:rFonts w:ascii="Century" w:hAnsi="Century" w:cs="TimesNewRoman"/>
          <w:sz w:val="24"/>
          <w:szCs w:val="24"/>
        </w:rPr>
        <w:t>, la Recomendación establece que se pueden producir situaciones de doble o múltiple imposición</w:t>
      </w:r>
      <w:r w:rsidR="00062E44">
        <w:rPr>
          <w:rFonts w:ascii="Century" w:hAnsi="Century" w:cs="TimesNewRoman"/>
          <w:sz w:val="24"/>
          <w:szCs w:val="24"/>
        </w:rPr>
        <w:t>,</w:t>
      </w:r>
      <w:r w:rsidRPr="002C13F3">
        <w:rPr>
          <w:rFonts w:ascii="Century" w:hAnsi="Century" w:cs="TimesNewRoman"/>
          <w:sz w:val="24"/>
          <w:szCs w:val="24"/>
        </w:rPr>
        <w:t xml:space="preserve"> cuando dos o más países ejerciten su potestad tributaria sobre una misma herencia, ya sea por la ubicación de los activos incluidos en la herencia y por los vínculos personales de la persona fallecida y/o del heredero con dichos Estados. Además se agrava este problema con la ausencia de instrumentos nacionales o internacionales que puedan suprimir de manera eficaz esta doble o múltiple imposición. No obstante, la mayoría de los EM prevén la reducción de este problema en las sucesiones transfronterizas a través de sus legislaciones o de las prácticas administrativas adoptadas unilateralmente a escala nacional.</w:t>
      </w:r>
    </w:p>
    <w:p w:rsidR="003126CE" w:rsidRPr="002C13F3" w:rsidRDefault="003126CE" w:rsidP="002D11BC">
      <w:pPr>
        <w:autoSpaceDE w:val="0"/>
        <w:autoSpaceDN w:val="0"/>
        <w:adjustRightInd w:val="0"/>
        <w:spacing w:after="240" w:line="360" w:lineRule="auto"/>
        <w:jc w:val="both"/>
        <w:rPr>
          <w:rFonts w:ascii="Century" w:hAnsi="Century" w:cs="TimesNewRoman"/>
          <w:sz w:val="24"/>
          <w:szCs w:val="24"/>
        </w:rPr>
      </w:pPr>
      <w:r w:rsidRPr="002C13F3">
        <w:rPr>
          <w:rFonts w:ascii="Century" w:hAnsi="Century" w:cs="TimesNewRoman"/>
          <w:sz w:val="24"/>
          <w:szCs w:val="24"/>
        </w:rPr>
        <w:tab/>
      </w:r>
      <w:r w:rsidR="00062E44">
        <w:rPr>
          <w:rFonts w:ascii="Century" w:hAnsi="Century" w:cs="TimesNewRoman"/>
          <w:sz w:val="24"/>
          <w:szCs w:val="24"/>
        </w:rPr>
        <w:t xml:space="preserve">Se indica, que </w:t>
      </w:r>
      <w:r w:rsidRPr="002C13F3">
        <w:rPr>
          <w:rFonts w:ascii="Century" w:hAnsi="Century" w:cs="TimesNewRoman"/>
          <w:sz w:val="24"/>
          <w:szCs w:val="24"/>
        </w:rPr>
        <w:t>para que se llegue a su completa eliminación debe</w:t>
      </w:r>
      <w:r w:rsidR="00062E44">
        <w:rPr>
          <w:rFonts w:ascii="Century" w:hAnsi="Century" w:cs="TimesNewRoman"/>
          <w:sz w:val="24"/>
          <w:szCs w:val="24"/>
        </w:rPr>
        <w:t>ría</w:t>
      </w:r>
      <w:r w:rsidRPr="002C13F3">
        <w:rPr>
          <w:rFonts w:ascii="Century" w:hAnsi="Century" w:cs="TimesNewRoman"/>
          <w:sz w:val="24"/>
          <w:szCs w:val="24"/>
        </w:rPr>
        <w:t xml:space="preserve"> establecerse un sistema más exhaustivo</w:t>
      </w:r>
      <w:r w:rsidR="00062E44">
        <w:rPr>
          <w:rFonts w:ascii="Century" w:hAnsi="Century" w:cs="TimesNewRoman"/>
          <w:sz w:val="24"/>
          <w:szCs w:val="24"/>
        </w:rPr>
        <w:t>, consistente</w:t>
      </w:r>
      <w:r w:rsidRPr="002C13F3">
        <w:rPr>
          <w:rFonts w:ascii="Century" w:hAnsi="Century" w:cs="TimesNewRoman"/>
          <w:sz w:val="24"/>
          <w:szCs w:val="24"/>
        </w:rPr>
        <w:t xml:space="preserve"> en</w:t>
      </w:r>
      <w:r w:rsidR="00062E44">
        <w:rPr>
          <w:rFonts w:ascii="Century" w:hAnsi="Century" w:cs="TimesNewRoman"/>
          <w:sz w:val="24"/>
          <w:szCs w:val="24"/>
        </w:rPr>
        <w:t xml:space="preserve"> el establecimiento de </w:t>
      </w:r>
      <w:r w:rsidRPr="002C13F3">
        <w:rPr>
          <w:rFonts w:ascii="Century" w:hAnsi="Century" w:cs="TimesNewRoman"/>
          <w:sz w:val="24"/>
          <w:szCs w:val="24"/>
        </w:rPr>
        <w:t>un orden de preferencia de los derechos fiscales o, a la inversa, de las desgravaciones fiscales en los casos en que dos o más EM graven las herencias por este impuesto.</w:t>
      </w:r>
      <w:r w:rsidR="00062E44">
        <w:rPr>
          <w:rFonts w:ascii="Century" w:hAnsi="Century" w:cs="TimesNewRoman"/>
          <w:sz w:val="24"/>
          <w:szCs w:val="24"/>
        </w:rPr>
        <w:t xml:space="preserve"> L</w:t>
      </w:r>
      <w:r w:rsidRPr="002C13F3">
        <w:rPr>
          <w:rFonts w:ascii="Century" w:hAnsi="Century" w:cs="TimesNewRoman"/>
          <w:sz w:val="24"/>
          <w:szCs w:val="24"/>
        </w:rPr>
        <w:t>a Recomendación</w:t>
      </w:r>
      <w:r w:rsidR="00062E44">
        <w:rPr>
          <w:rFonts w:ascii="Century" w:hAnsi="Century" w:cs="TimesNewRoman"/>
          <w:sz w:val="24"/>
          <w:szCs w:val="24"/>
        </w:rPr>
        <w:t xml:space="preserve"> insiste en que se debe </w:t>
      </w:r>
      <w:r w:rsidRPr="002C13F3">
        <w:rPr>
          <w:rFonts w:ascii="Century" w:hAnsi="Century" w:cs="TimesNewRoman"/>
          <w:sz w:val="24"/>
          <w:szCs w:val="24"/>
        </w:rPr>
        <w:t xml:space="preserve">establecer la forma en la que los EM pueden aplicar medidas, o mejorar las existentes, a fin de evitar esta problemática. </w:t>
      </w:r>
      <w:r w:rsidR="00062E44">
        <w:rPr>
          <w:rFonts w:ascii="Century" w:hAnsi="Century" w:cs="TimesNewRoman"/>
          <w:sz w:val="24"/>
          <w:szCs w:val="24"/>
        </w:rPr>
        <w:t>Así, indica que</w:t>
      </w:r>
      <w:r w:rsidRPr="002C13F3">
        <w:rPr>
          <w:rFonts w:ascii="Century" w:hAnsi="Century" w:cs="TimesNewRoman"/>
          <w:sz w:val="24"/>
          <w:szCs w:val="24"/>
        </w:rPr>
        <w:t xml:space="preserve"> los Estados podrían desarrollar un procedimiento de mutuo acuerdo para resolver los conflictos que puedan surgir en relación con la doble imposición</w:t>
      </w:r>
      <w:r w:rsidR="00062E44">
        <w:rPr>
          <w:rFonts w:ascii="Century" w:hAnsi="Century" w:cs="TimesNewRoman"/>
          <w:sz w:val="24"/>
          <w:szCs w:val="24"/>
        </w:rPr>
        <w:t xml:space="preserve">, sin perjuicio de </w:t>
      </w:r>
      <w:r w:rsidRPr="002C13F3">
        <w:rPr>
          <w:rFonts w:ascii="Century" w:hAnsi="Century" w:cs="TimesNewRoman"/>
          <w:sz w:val="24"/>
          <w:szCs w:val="24"/>
        </w:rPr>
        <w:t>continuar examinando las posibles maneras de mejorar la cooperación entre los mismos</w:t>
      </w:r>
      <w:r w:rsidRPr="002C13F3">
        <w:rPr>
          <w:rStyle w:val="Refdenotaalpie"/>
          <w:rFonts w:ascii="Century" w:hAnsi="Century" w:cs="TimesNewRoman"/>
          <w:sz w:val="24"/>
          <w:szCs w:val="24"/>
        </w:rPr>
        <w:footnoteReference w:id="26"/>
      </w:r>
      <w:r w:rsidRPr="002C13F3">
        <w:rPr>
          <w:rFonts w:ascii="Century" w:hAnsi="Century" w:cs="TimesNewRoman"/>
          <w:sz w:val="24"/>
          <w:szCs w:val="24"/>
        </w:rPr>
        <w:t>.</w:t>
      </w:r>
    </w:p>
    <w:p w:rsidR="003126CE" w:rsidRPr="002C13F3" w:rsidRDefault="003126CE" w:rsidP="002D11BC">
      <w:pPr>
        <w:autoSpaceDE w:val="0"/>
        <w:autoSpaceDN w:val="0"/>
        <w:adjustRightInd w:val="0"/>
        <w:spacing w:after="240" w:line="360" w:lineRule="auto"/>
        <w:jc w:val="both"/>
        <w:rPr>
          <w:rFonts w:ascii="Century" w:hAnsi="Century" w:cs="TimesNewRoman"/>
          <w:sz w:val="24"/>
          <w:szCs w:val="24"/>
        </w:rPr>
      </w:pPr>
      <w:r w:rsidRPr="002C13F3">
        <w:rPr>
          <w:rFonts w:ascii="Century" w:hAnsi="Century" w:cs="TimesNewRoman"/>
          <w:sz w:val="24"/>
          <w:szCs w:val="24"/>
        </w:rPr>
        <w:tab/>
        <w:t xml:space="preserve">El Documento de Trabajo </w:t>
      </w:r>
      <w:r w:rsidR="00584BAE">
        <w:rPr>
          <w:rFonts w:ascii="Century" w:hAnsi="Century" w:cs="TimesNewRoman"/>
          <w:sz w:val="24"/>
          <w:szCs w:val="24"/>
        </w:rPr>
        <w:t>fija</w:t>
      </w:r>
      <w:r w:rsidR="00062E44">
        <w:rPr>
          <w:rFonts w:ascii="Century" w:hAnsi="Century" w:cs="TimesNewRoman"/>
          <w:sz w:val="24"/>
          <w:szCs w:val="24"/>
        </w:rPr>
        <w:t>, por su parte,</w:t>
      </w:r>
      <w:r w:rsidRPr="002C13F3">
        <w:rPr>
          <w:rFonts w:ascii="Century" w:hAnsi="Century" w:cs="TimesNewRoman"/>
          <w:sz w:val="24"/>
          <w:szCs w:val="24"/>
        </w:rPr>
        <w:t xml:space="preserve"> una serie de opciones estratégicas para solucionar este problema. </w:t>
      </w:r>
      <w:r w:rsidR="00584BAE">
        <w:rPr>
          <w:rFonts w:ascii="Century" w:hAnsi="Century" w:cs="TimesNewRoman"/>
          <w:sz w:val="24"/>
          <w:szCs w:val="24"/>
        </w:rPr>
        <w:t>Así</w:t>
      </w:r>
      <w:r w:rsidRPr="002C13F3">
        <w:rPr>
          <w:rFonts w:ascii="Century" w:hAnsi="Century" w:cs="TimesNewRoman"/>
          <w:sz w:val="24"/>
          <w:szCs w:val="24"/>
        </w:rPr>
        <w:t>,</w:t>
      </w:r>
      <w:r w:rsidR="00062E44">
        <w:rPr>
          <w:rFonts w:ascii="Century" w:hAnsi="Century" w:cs="TimesNewRoman"/>
          <w:sz w:val="24"/>
          <w:szCs w:val="24"/>
        </w:rPr>
        <w:t xml:space="preserve"> indica que</w:t>
      </w:r>
      <w:r w:rsidRPr="002C13F3">
        <w:rPr>
          <w:rFonts w:ascii="Century" w:hAnsi="Century" w:cs="TimesNewRoman"/>
          <w:sz w:val="24"/>
          <w:szCs w:val="24"/>
        </w:rPr>
        <w:t xml:space="preserve"> la Comisión </w:t>
      </w:r>
      <w:r w:rsidR="00015A2D">
        <w:rPr>
          <w:rFonts w:ascii="Century" w:hAnsi="Century" w:cs="TimesNewRoman"/>
          <w:sz w:val="24"/>
          <w:szCs w:val="24"/>
        </w:rPr>
        <w:lastRenderedPageBreak/>
        <w:t xml:space="preserve">Europea </w:t>
      </w:r>
      <w:r w:rsidRPr="002C13F3">
        <w:rPr>
          <w:rFonts w:ascii="Century" w:hAnsi="Century" w:cs="TimesNewRoman"/>
          <w:sz w:val="24"/>
          <w:szCs w:val="24"/>
        </w:rPr>
        <w:t xml:space="preserve">podría determinar cuáles son los elementos que permitirían una interacción más coherente entre las normas tributarias nacionales. También podría recomendar a los EM la creación de una red completa de tratados bilaterales relativos a la doble imposición de las sucesiones o la adopción de un convenio multilateral de la UE en esta materia. Otra opción sería fijar un instrumento vinculante de la UE, en forma de directiva, que podría prever una base única armonizada para la imposición, una combinación de definiciones comunes y de una base única armonizada, la supresión de la doble imposición por medio de disposición unilateral vinculante en la materia acompañada de un mecanismo vinculante de resolución de conflictos sin efectuar </w:t>
      </w:r>
      <w:r w:rsidR="00D745F1">
        <w:rPr>
          <w:rFonts w:ascii="Century" w:hAnsi="Century" w:cs="TimesNewRoman"/>
          <w:sz w:val="24"/>
          <w:szCs w:val="24"/>
        </w:rPr>
        <w:t>modificaciones</w:t>
      </w:r>
      <w:r w:rsidRPr="002C13F3">
        <w:rPr>
          <w:rFonts w:ascii="Century" w:hAnsi="Century" w:cs="TimesNewRoman"/>
          <w:sz w:val="24"/>
          <w:szCs w:val="24"/>
        </w:rPr>
        <w:t xml:space="preserve"> en las legislaciones de los EM en esta materia, o una combinación de todos estos elementos. No obstante, se debería valorar si son o no adecuadas estas opciones.</w:t>
      </w:r>
    </w:p>
    <w:p w:rsidR="003126CE" w:rsidRPr="002C13F3" w:rsidRDefault="003126CE" w:rsidP="002D11BC">
      <w:pPr>
        <w:autoSpaceDE w:val="0"/>
        <w:autoSpaceDN w:val="0"/>
        <w:adjustRightInd w:val="0"/>
        <w:spacing w:after="240" w:line="360" w:lineRule="auto"/>
        <w:jc w:val="both"/>
        <w:rPr>
          <w:rFonts w:ascii="Century" w:hAnsi="Century" w:cs="TimesNewRoman"/>
          <w:sz w:val="24"/>
          <w:szCs w:val="24"/>
        </w:rPr>
      </w:pPr>
      <w:r w:rsidRPr="002C13F3">
        <w:rPr>
          <w:rFonts w:ascii="Century" w:hAnsi="Century" w:cs="TimesNewRoman"/>
          <w:sz w:val="24"/>
          <w:szCs w:val="24"/>
        </w:rPr>
        <w:tab/>
        <w:t>En resumen,</w:t>
      </w:r>
      <w:r w:rsidR="00062E44">
        <w:rPr>
          <w:rFonts w:ascii="Century" w:hAnsi="Century" w:cs="TimesNewRoman"/>
          <w:sz w:val="24"/>
          <w:szCs w:val="24"/>
        </w:rPr>
        <w:t xml:space="preserve"> a través de distintas vías, la Comisión Europea trata de establecer </w:t>
      </w:r>
      <w:r w:rsidRPr="002C13F3">
        <w:rPr>
          <w:rFonts w:ascii="Century" w:hAnsi="Century" w:cs="TimesNewRoman"/>
          <w:sz w:val="24"/>
          <w:szCs w:val="24"/>
        </w:rPr>
        <w:t xml:space="preserve">soluciones adecuadas para solventar los problemas transfronterizos en materia </w:t>
      </w:r>
      <w:r w:rsidR="00062E44">
        <w:rPr>
          <w:rFonts w:ascii="Century" w:hAnsi="Century" w:cs="TimesNewRoman"/>
          <w:sz w:val="24"/>
          <w:szCs w:val="24"/>
        </w:rPr>
        <w:t>sucesoria. La Comisión considera</w:t>
      </w:r>
      <w:r w:rsidRPr="002C13F3">
        <w:rPr>
          <w:rFonts w:ascii="Century" w:hAnsi="Century" w:cs="TimesNewRoman"/>
          <w:sz w:val="24"/>
          <w:szCs w:val="24"/>
        </w:rPr>
        <w:t xml:space="preserve"> que una</w:t>
      </w:r>
      <w:r w:rsidR="009E1F39" w:rsidRPr="002C13F3">
        <w:rPr>
          <w:rFonts w:ascii="Century" w:hAnsi="Century" w:cs="TimesNewRoman"/>
          <w:sz w:val="24"/>
          <w:szCs w:val="24"/>
        </w:rPr>
        <w:t xml:space="preserve"> opción sería que los EM se guiara</w:t>
      </w:r>
      <w:r w:rsidRPr="002C13F3">
        <w:rPr>
          <w:rFonts w:ascii="Century" w:hAnsi="Century" w:cs="TimesNewRoman"/>
          <w:sz w:val="24"/>
          <w:szCs w:val="24"/>
        </w:rPr>
        <w:t xml:space="preserve">n por las normas </w:t>
      </w:r>
      <w:r w:rsidR="00664168">
        <w:rPr>
          <w:rFonts w:ascii="Century" w:hAnsi="Century" w:cs="TimesNewRoman"/>
          <w:sz w:val="24"/>
          <w:szCs w:val="24"/>
        </w:rPr>
        <w:t>fijadas</w:t>
      </w:r>
      <w:r w:rsidR="009E1F39" w:rsidRPr="002C13F3">
        <w:rPr>
          <w:rFonts w:ascii="Century" w:hAnsi="Century" w:cs="TimesNewRoman"/>
          <w:sz w:val="24"/>
          <w:szCs w:val="24"/>
        </w:rPr>
        <w:t xml:space="preserve"> en los Tratados y desarrollara</w:t>
      </w:r>
      <w:r w:rsidRPr="002C13F3">
        <w:rPr>
          <w:rFonts w:ascii="Century" w:hAnsi="Century" w:cs="TimesNewRoman"/>
          <w:sz w:val="24"/>
          <w:szCs w:val="24"/>
        </w:rPr>
        <w:t>n unilateralmente unas soluciones bien definidas con el objetivo de suprimir las discriminaciones y la doble imposición, además de atenuar los costes de cumplimiento que para los ciudadanos conlleva</w:t>
      </w:r>
      <w:r w:rsidR="009E1F39" w:rsidRPr="002C13F3">
        <w:rPr>
          <w:rFonts w:ascii="Century" w:hAnsi="Century" w:cs="TimesNewRoman"/>
          <w:sz w:val="24"/>
          <w:szCs w:val="24"/>
        </w:rPr>
        <w:t>ría</w:t>
      </w:r>
      <w:r w:rsidRPr="002C13F3">
        <w:rPr>
          <w:rFonts w:ascii="Century" w:hAnsi="Century" w:cs="TimesNewRoman"/>
          <w:sz w:val="24"/>
          <w:szCs w:val="24"/>
        </w:rPr>
        <w:t xml:space="preserve"> estar sujeto a varios regímenes fiscales</w:t>
      </w:r>
      <w:r w:rsidR="00062E44">
        <w:rPr>
          <w:rFonts w:ascii="Century" w:hAnsi="Century" w:cs="TimesNewRoman"/>
          <w:sz w:val="24"/>
          <w:szCs w:val="24"/>
        </w:rPr>
        <w:t>. Por esta razón, la Comisión ofrece ayuda</w:t>
      </w:r>
      <w:r w:rsidRPr="002C13F3">
        <w:rPr>
          <w:rFonts w:ascii="Century" w:hAnsi="Century" w:cs="TimesNewRoman"/>
          <w:sz w:val="24"/>
          <w:szCs w:val="24"/>
        </w:rPr>
        <w:t xml:space="preserve"> a los EM</w:t>
      </w:r>
      <w:r w:rsidR="00062E44">
        <w:rPr>
          <w:rFonts w:ascii="Century" w:hAnsi="Century" w:cs="TimesNewRoman"/>
          <w:sz w:val="24"/>
          <w:szCs w:val="24"/>
        </w:rPr>
        <w:t xml:space="preserve"> para que adopten</w:t>
      </w:r>
      <w:r w:rsidRPr="002C13F3">
        <w:rPr>
          <w:rFonts w:ascii="Century" w:hAnsi="Century" w:cs="TimesNewRoman"/>
          <w:sz w:val="24"/>
          <w:szCs w:val="24"/>
        </w:rPr>
        <w:t xml:space="preserve"> sus disposiciones legales en dicha materia a lo que establece el TFUE,</w:t>
      </w:r>
      <w:r w:rsidR="00062E44">
        <w:rPr>
          <w:rFonts w:ascii="Century" w:hAnsi="Century" w:cs="TimesNewRoman"/>
          <w:sz w:val="24"/>
          <w:szCs w:val="24"/>
        </w:rPr>
        <w:t xml:space="preserve"> para evitar posteriormente controlar</w:t>
      </w:r>
      <w:r w:rsidRPr="002C13F3">
        <w:rPr>
          <w:rFonts w:ascii="Century" w:hAnsi="Century" w:cs="TimesNewRoman"/>
          <w:sz w:val="24"/>
          <w:szCs w:val="24"/>
        </w:rPr>
        <w:t xml:space="preserve"> los aspectos discriminatorios de las normas de imposición de las sucesiones vigentes en los EM. </w:t>
      </w:r>
      <w:r w:rsidR="00062E44">
        <w:rPr>
          <w:rFonts w:ascii="Century" w:hAnsi="Century" w:cs="TimesNewRoman"/>
          <w:sz w:val="24"/>
          <w:szCs w:val="24"/>
        </w:rPr>
        <w:t>L</w:t>
      </w:r>
      <w:r w:rsidRPr="002C13F3">
        <w:rPr>
          <w:rFonts w:ascii="Century" w:hAnsi="Century" w:cs="TimesNewRoman"/>
          <w:sz w:val="24"/>
          <w:szCs w:val="24"/>
        </w:rPr>
        <w:t>a Comisión</w:t>
      </w:r>
      <w:r w:rsidR="00062E44">
        <w:rPr>
          <w:rFonts w:ascii="Century" w:hAnsi="Century" w:cs="TimesNewRoman"/>
          <w:sz w:val="24"/>
          <w:szCs w:val="24"/>
        </w:rPr>
        <w:t xml:space="preserve"> propone, en definitiva, </w:t>
      </w:r>
      <w:r w:rsidRPr="002C13F3">
        <w:rPr>
          <w:rFonts w:ascii="Century" w:hAnsi="Century" w:cs="TimesNewRoman"/>
          <w:sz w:val="24"/>
          <w:szCs w:val="24"/>
        </w:rPr>
        <w:t>hacer un seguimiento de las normativas y prácticas de los EM para valorar los cambios que se realicen en respuesta a las soluciones</w:t>
      </w:r>
      <w:r w:rsidR="00062E44">
        <w:rPr>
          <w:rFonts w:ascii="Century" w:hAnsi="Century" w:cs="TimesNewRoman"/>
          <w:sz w:val="24"/>
          <w:szCs w:val="24"/>
        </w:rPr>
        <w:t xml:space="preserve"> planteadas</w:t>
      </w:r>
      <w:r w:rsidRPr="002C13F3">
        <w:rPr>
          <w:rFonts w:ascii="Century" w:hAnsi="Century" w:cs="TimesNewRoman"/>
          <w:sz w:val="24"/>
          <w:szCs w:val="24"/>
        </w:rPr>
        <w:t xml:space="preserve"> y la eficacia de dichos cambios</w:t>
      </w:r>
      <w:r w:rsidRPr="002C13F3">
        <w:rPr>
          <w:rStyle w:val="Refdenotaalpie"/>
          <w:rFonts w:ascii="Century" w:hAnsi="Century" w:cs="TimesNewRoman"/>
          <w:sz w:val="24"/>
          <w:szCs w:val="24"/>
        </w:rPr>
        <w:footnoteReference w:id="27"/>
      </w:r>
      <w:r w:rsidRPr="002C13F3">
        <w:rPr>
          <w:rFonts w:ascii="Century" w:hAnsi="Century" w:cs="TimesNewRoman"/>
          <w:sz w:val="24"/>
          <w:szCs w:val="24"/>
        </w:rPr>
        <w:t xml:space="preserve">. </w:t>
      </w:r>
    </w:p>
    <w:p w:rsidR="003126CE" w:rsidRDefault="003126CE" w:rsidP="002D11BC">
      <w:pPr>
        <w:autoSpaceDE w:val="0"/>
        <w:autoSpaceDN w:val="0"/>
        <w:adjustRightInd w:val="0"/>
        <w:spacing w:after="240" w:line="360" w:lineRule="auto"/>
        <w:jc w:val="both"/>
        <w:rPr>
          <w:rFonts w:ascii="Century" w:hAnsi="Century" w:cs="Arial"/>
          <w:sz w:val="24"/>
          <w:szCs w:val="24"/>
        </w:rPr>
      </w:pPr>
      <w:r w:rsidRPr="002C13F3">
        <w:rPr>
          <w:rFonts w:ascii="Century" w:hAnsi="Century" w:cs="TimesNewRoman"/>
          <w:sz w:val="24"/>
          <w:szCs w:val="24"/>
        </w:rPr>
        <w:tab/>
      </w:r>
      <w:r w:rsidR="00062E44">
        <w:rPr>
          <w:rFonts w:ascii="Century" w:hAnsi="Century" w:cs="TimesNewRoman"/>
          <w:sz w:val="24"/>
          <w:szCs w:val="24"/>
          <w:lang w:val="es-ES_tradnl"/>
        </w:rPr>
        <w:t>En definitiva, e</w:t>
      </w:r>
      <w:r w:rsidRPr="002C13F3">
        <w:rPr>
          <w:rFonts w:ascii="Century" w:hAnsi="Century" w:cs="Arial"/>
          <w:sz w:val="24"/>
          <w:szCs w:val="24"/>
        </w:rPr>
        <w:t xml:space="preserve">l TJUE debe analizar si las diferentes legislaciones estatales son compatibles con el Derecho </w:t>
      </w:r>
      <w:r w:rsidR="00157D5D">
        <w:rPr>
          <w:rFonts w:ascii="Century" w:hAnsi="Century" w:cs="Arial"/>
          <w:sz w:val="24"/>
          <w:szCs w:val="24"/>
        </w:rPr>
        <w:t>de la UE</w:t>
      </w:r>
      <w:r w:rsidRPr="002C13F3">
        <w:rPr>
          <w:rFonts w:ascii="Century" w:hAnsi="Century" w:cs="Arial"/>
          <w:sz w:val="24"/>
          <w:szCs w:val="24"/>
        </w:rPr>
        <w:t xml:space="preserve">, sobre la base del </w:t>
      </w:r>
      <w:r w:rsidRPr="002C13F3">
        <w:rPr>
          <w:rFonts w:ascii="Century" w:hAnsi="Century" w:cs="Arial"/>
          <w:sz w:val="24"/>
          <w:szCs w:val="24"/>
        </w:rPr>
        <w:lastRenderedPageBreak/>
        <w:t>principio de no discriminación por razón de la nacionalidad y con la prohibición de restricciones a las cuatro libertades fundamentales de circulación. El Tribunal debe verificar la situación de comparabilidad objetiva entre los contribuyentes nacionales y no nacionales, revisar si existe diferencia de trato entre estos sujetos, y comprobar si existe o no justificación para dicha diferencia de trato fiscal</w:t>
      </w:r>
      <w:r w:rsidRPr="002C13F3">
        <w:rPr>
          <w:rStyle w:val="Refdenotaalpie"/>
          <w:rFonts w:ascii="Century" w:hAnsi="Century" w:cs="Arial"/>
          <w:sz w:val="24"/>
          <w:szCs w:val="24"/>
        </w:rPr>
        <w:footnoteReference w:id="28"/>
      </w:r>
      <w:r w:rsidRPr="002C13F3">
        <w:rPr>
          <w:rFonts w:ascii="Century" w:hAnsi="Century" w:cs="Arial"/>
          <w:sz w:val="24"/>
          <w:szCs w:val="24"/>
        </w:rPr>
        <w:t>.</w:t>
      </w:r>
    </w:p>
    <w:p w:rsidR="00C92D84" w:rsidRPr="00537025" w:rsidRDefault="003126CE" w:rsidP="00537025">
      <w:pPr>
        <w:autoSpaceDE w:val="0"/>
        <w:autoSpaceDN w:val="0"/>
        <w:adjustRightInd w:val="0"/>
        <w:spacing w:after="240" w:line="360" w:lineRule="auto"/>
        <w:jc w:val="both"/>
        <w:rPr>
          <w:rFonts w:ascii="Century" w:hAnsi="Century" w:cs="Times New Roman"/>
          <w:sz w:val="24"/>
          <w:szCs w:val="24"/>
        </w:rPr>
      </w:pPr>
      <w:r w:rsidRPr="002C13F3">
        <w:rPr>
          <w:rFonts w:ascii="Century" w:hAnsi="Century" w:cs="Times New Roman"/>
          <w:sz w:val="24"/>
          <w:szCs w:val="24"/>
        </w:rPr>
        <w:tab/>
        <w:t xml:space="preserve">Por </w:t>
      </w:r>
      <w:r w:rsidR="00514E63">
        <w:rPr>
          <w:rFonts w:ascii="Century" w:hAnsi="Century" w:cs="Times New Roman"/>
          <w:sz w:val="24"/>
          <w:szCs w:val="24"/>
        </w:rPr>
        <w:t>lo demás</w:t>
      </w:r>
      <w:r w:rsidRPr="002C13F3">
        <w:rPr>
          <w:rFonts w:ascii="Century" w:hAnsi="Century" w:cs="Times New Roman"/>
          <w:sz w:val="24"/>
          <w:szCs w:val="24"/>
        </w:rPr>
        <w:t>, la Comisión Europea considera que los EM tienen la suficiente capacidad para solucionar los problemas expuestos a través de la coordinación de las legislaciones nacionales, sin que sea necesario recurrir</w:t>
      </w:r>
      <w:r w:rsidR="00514E63">
        <w:rPr>
          <w:rFonts w:ascii="Century" w:hAnsi="Century" w:cs="Times New Roman"/>
          <w:sz w:val="24"/>
          <w:szCs w:val="24"/>
        </w:rPr>
        <w:t>, tal y como hemos visto,</w:t>
      </w:r>
      <w:r w:rsidRPr="002C13F3">
        <w:rPr>
          <w:rFonts w:ascii="Century" w:hAnsi="Century" w:cs="Times New Roman"/>
          <w:sz w:val="24"/>
          <w:szCs w:val="24"/>
        </w:rPr>
        <w:t xml:space="preserve"> a la armonización de sus normativas sucesorias. No obstante, la tributación de las sucesiones en los EM está </w:t>
      </w:r>
      <w:proofErr w:type="gramStart"/>
      <w:r w:rsidRPr="002C13F3">
        <w:rPr>
          <w:rFonts w:ascii="Century" w:hAnsi="Century" w:cs="Times New Roman"/>
          <w:sz w:val="24"/>
          <w:szCs w:val="24"/>
        </w:rPr>
        <w:t>sujeta</w:t>
      </w:r>
      <w:proofErr w:type="gramEnd"/>
      <w:r w:rsidRPr="002C13F3">
        <w:rPr>
          <w:rFonts w:ascii="Century" w:hAnsi="Century" w:cs="Times New Roman"/>
          <w:sz w:val="24"/>
          <w:szCs w:val="24"/>
        </w:rPr>
        <w:t xml:space="preserve"> a normas bien distintas, es decir, </w:t>
      </w:r>
      <w:r w:rsidR="00514E63">
        <w:rPr>
          <w:rFonts w:ascii="Century" w:hAnsi="Century" w:cs="Times New Roman"/>
          <w:sz w:val="24"/>
          <w:szCs w:val="24"/>
        </w:rPr>
        <w:t xml:space="preserve">que </w:t>
      </w:r>
      <w:r w:rsidRPr="002C13F3">
        <w:rPr>
          <w:rFonts w:ascii="Century" w:hAnsi="Century" w:cs="Times New Roman"/>
          <w:sz w:val="24"/>
          <w:szCs w:val="24"/>
        </w:rPr>
        <w:t xml:space="preserve">varían considerablemente de un Estado a otro. </w:t>
      </w:r>
      <w:r w:rsidR="00514E63">
        <w:rPr>
          <w:rFonts w:ascii="Century" w:hAnsi="Century" w:cs="Times New Roman"/>
          <w:sz w:val="24"/>
          <w:szCs w:val="24"/>
        </w:rPr>
        <w:t>E</w:t>
      </w:r>
      <w:r w:rsidRPr="002C13F3">
        <w:rPr>
          <w:rFonts w:ascii="Century" w:hAnsi="Century" w:cs="Times New Roman"/>
          <w:sz w:val="24"/>
          <w:szCs w:val="24"/>
        </w:rPr>
        <w:t>n el apartado siguiente</w:t>
      </w:r>
      <w:r w:rsidR="00514E63">
        <w:rPr>
          <w:rFonts w:ascii="Century" w:hAnsi="Century" w:cs="Times New Roman"/>
          <w:sz w:val="24"/>
          <w:szCs w:val="24"/>
        </w:rPr>
        <w:t xml:space="preserve"> efectuamos un análisis comparativo de las normativas sucesorias de los distintos EM.</w:t>
      </w:r>
      <w:r w:rsidR="00537025">
        <w:rPr>
          <w:rFonts w:ascii="Century" w:hAnsi="Century" w:cs="Times New Roman"/>
          <w:sz w:val="24"/>
          <w:szCs w:val="24"/>
        </w:rPr>
        <w:t xml:space="preserve"> </w:t>
      </w:r>
    </w:p>
    <w:p w:rsidR="003126CE" w:rsidRPr="002C13F3" w:rsidRDefault="0071398F" w:rsidP="002D11BC">
      <w:pPr>
        <w:tabs>
          <w:tab w:val="left" w:pos="7230"/>
        </w:tabs>
        <w:spacing w:after="240" w:line="360" w:lineRule="auto"/>
        <w:ind w:left="284"/>
        <w:jc w:val="both"/>
        <w:rPr>
          <w:rFonts w:ascii="Century" w:hAnsi="Century"/>
          <w:b/>
          <w:sz w:val="24"/>
          <w:szCs w:val="24"/>
        </w:rPr>
      </w:pPr>
      <w:r w:rsidRPr="002C13F3">
        <w:rPr>
          <w:rFonts w:ascii="Century" w:hAnsi="Century"/>
          <w:b/>
          <w:sz w:val="24"/>
          <w:szCs w:val="24"/>
        </w:rPr>
        <w:t>2</w:t>
      </w:r>
      <w:r w:rsidR="00101BA0" w:rsidRPr="002C13F3">
        <w:rPr>
          <w:rFonts w:ascii="Century" w:hAnsi="Century"/>
          <w:b/>
          <w:sz w:val="24"/>
          <w:szCs w:val="24"/>
        </w:rPr>
        <w:t xml:space="preserve">.3. </w:t>
      </w:r>
      <w:r w:rsidR="003126CE" w:rsidRPr="002C13F3">
        <w:rPr>
          <w:rFonts w:ascii="Century" w:hAnsi="Century"/>
          <w:b/>
          <w:sz w:val="24"/>
          <w:szCs w:val="24"/>
        </w:rPr>
        <w:t>El Impuesto sobre Sucesiones en los Estados miembros</w:t>
      </w:r>
    </w:p>
    <w:p w:rsidR="003126CE" w:rsidRPr="002C13F3" w:rsidRDefault="0071398F" w:rsidP="002D11BC">
      <w:pPr>
        <w:spacing w:after="240" w:line="360" w:lineRule="auto"/>
        <w:ind w:left="709"/>
        <w:jc w:val="both"/>
        <w:rPr>
          <w:rFonts w:ascii="Century" w:hAnsi="Century"/>
          <w:b/>
          <w:sz w:val="24"/>
          <w:szCs w:val="24"/>
        </w:rPr>
      </w:pPr>
      <w:r w:rsidRPr="002C13F3">
        <w:rPr>
          <w:rFonts w:ascii="Century" w:hAnsi="Century"/>
          <w:b/>
          <w:sz w:val="24"/>
          <w:szCs w:val="24"/>
        </w:rPr>
        <w:t>2</w:t>
      </w:r>
      <w:r w:rsidR="003126CE" w:rsidRPr="002C13F3">
        <w:rPr>
          <w:rFonts w:ascii="Century" w:hAnsi="Century"/>
          <w:b/>
          <w:sz w:val="24"/>
          <w:szCs w:val="24"/>
        </w:rPr>
        <w:t>.3.1. Análisis sobre tres elementos</w:t>
      </w:r>
      <w:r w:rsidR="00514E63">
        <w:rPr>
          <w:rFonts w:ascii="Century" w:hAnsi="Century"/>
          <w:b/>
          <w:sz w:val="24"/>
          <w:szCs w:val="24"/>
        </w:rPr>
        <w:t xml:space="preserve"> comparativos</w:t>
      </w:r>
      <w:r w:rsidR="003126CE" w:rsidRPr="00514069">
        <w:rPr>
          <w:rFonts w:cstheme="minorHAnsi"/>
          <w:b/>
          <w:sz w:val="24"/>
          <w:szCs w:val="24"/>
        </w:rPr>
        <w:t>:</w:t>
      </w:r>
      <w:r w:rsidR="003126CE" w:rsidRPr="002C13F3">
        <w:rPr>
          <w:rFonts w:ascii="Century" w:hAnsi="Century"/>
          <w:b/>
          <w:sz w:val="24"/>
          <w:szCs w:val="24"/>
        </w:rPr>
        <w:t xml:space="preserve"> criterio de sujeción, </w:t>
      </w:r>
      <w:r w:rsidR="00101BA0" w:rsidRPr="002C13F3">
        <w:rPr>
          <w:rFonts w:ascii="Century" w:hAnsi="Century"/>
          <w:b/>
          <w:sz w:val="24"/>
          <w:szCs w:val="24"/>
        </w:rPr>
        <w:t xml:space="preserve"> </w:t>
      </w:r>
      <w:r w:rsidR="003126CE" w:rsidRPr="002C13F3">
        <w:rPr>
          <w:rFonts w:ascii="Century" w:hAnsi="Century"/>
          <w:b/>
          <w:sz w:val="24"/>
          <w:szCs w:val="24"/>
        </w:rPr>
        <w:t>tipo de</w:t>
      </w:r>
      <w:r w:rsidR="00473C8D">
        <w:rPr>
          <w:rFonts w:ascii="Century" w:hAnsi="Century"/>
          <w:b/>
          <w:sz w:val="24"/>
          <w:szCs w:val="24"/>
        </w:rPr>
        <w:t xml:space="preserve"> gravamen y beneficios fiscales</w:t>
      </w:r>
    </w:p>
    <w:p w:rsidR="003126CE" w:rsidRPr="002C13F3" w:rsidRDefault="003126CE" w:rsidP="002D11BC">
      <w:pPr>
        <w:spacing w:after="240" w:line="360" w:lineRule="auto"/>
        <w:jc w:val="both"/>
        <w:rPr>
          <w:rFonts w:ascii="Century" w:hAnsi="Century"/>
          <w:sz w:val="24"/>
          <w:szCs w:val="24"/>
        </w:rPr>
      </w:pPr>
      <w:r w:rsidRPr="002C13F3">
        <w:rPr>
          <w:rFonts w:ascii="Century" w:hAnsi="Century"/>
          <w:b/>
          <w:sz w:val="24"/>
          <w:szCs w:val="24"/>
        </w:rPr>
        <w:tab/>
      </w:r>
      <w:r w:rsidRPr="002C13F3">
        <w:rPr>
          <w:rFonts w:ascii="Century" w:hAnsi="Century"/>
          <w:sz w:val="24"/>
          <w:szCs w:val="24"/>
        </w:rPr>
        <w:t xml:space="preserve">En este apartado vamos a analizar </w:t>
      </w:r>
      <w:r w:rsidR="004F6120">
        <w:rPr>
          <w:rFonts w:ascii="Century" w:hAnsi="Century"/>
          <w:sz w:val="24"/>
          <w:szCs w:val="24"/>
        </w:rPr>
        <w:t xml:space="preserve">varias cuestiones relacionadas con los impuestos sucesorios en los distintos EM. Así, en primer lugar vamos a revisar cuáles son los EM </w:t>
      </w:r>
      <w:r w:rsidRPr="002C13F3">
        <w:rPr>
          <w:rFonts w:ascii="Century" w:hAnsi="Century"/>
          <w:sz w:val="24"/>
          <w:szCs w:val="24"/>
        </w:rPr>
        <w:t xml:space="preserve">que gravan las transmisiones </w:t>
      </w:r>
      <w:r w:rsidRPr="002C13F3">
        <w:rPr>
          <w:rFonts w:ascii="Century" w:hAnsi="Century"/>
          <w:i/>
          <w:sz w:val="24"/>
          <w:szCs w:val="24"/>
        </w:rPr>
        <w:t>mortis causa</w:t>
      </w:r>
      <w:r w:rsidRPr="002C13F3">
        <w:rPr>
          <w:rFonts w:ascii="Century" w:hAnsi="Century"/>
          <w:sz w:val="24"/>
          <w:szCs w:val="24"/>
        </w:rPr>
        <w:t xml:space="preserve"> por el</w:t>
      </w:r>
      <w:r w:rsidR="00EF448C">
        <w:rPr>
          <w:rFonts w:ascii="Century" w:hAnsi="Century"/>
          <w:sz w:val="24"/>
          <w:szCs w:val="24"/>
        </w:rPr>
        <w:t xml:space="preserve"> Impuesto sobre Sucesiones (</w:t>
      </w:r>
      <w:r w:rsidRPr="002C13F3">
        <w:rPr>
          <w:rFonts w:ascii="Century" w:hAnsi="Century"/>
          <w:sz w:val="24"/>
          <w:szCs w:val="24"/>
        </w:rPr>
        <w:t>I</w:t>
      </w:r>
      <w:r w:rsidR="004B017E">
        <w:rPr>
          <w:rFonts w:ascii="Century" w:hAnsi="Century"/>
          <w:sz w:val="24"/>
          <w:szCs w:val="24"/>
        </w:rPr>
        <w:t>SUC</w:t>
      </w:r>
      <w:r w:rsidR="00EF448C">
        <w:rPr>
          <w:rFonts w:ascii="Century" w:hAnsi="Century"/>
          <w:sz w:val="24"/>
          <w:szCs w:val="24"/>
        </w:rPr>
        <w:t>, en adelante)</w:t>
      </w:r>
      <w:r w:rsidRPr="002C13F3">
        <w:rPr>
          <w:rFonts w:ascii="Century" w:hAnsi="Century"/>
          <w:sz w:val="24"/>
          <w:szCs w:val="24"/>
        </w:rPr>
        <w:t xml:space="preserve"> y cuáles son los que las gravan por otros tipos de impuestos,</w:t>
      </w:r>
      <w:r w:rsidR="004F6120">
        <w:rPr>
          <w:rFonts w:ascii="Century" w:hAnsi="Century"/>
          <w:sz w:val="24"/>
          <w:szCs w:val="24"/>
        </w:rPr>
        <w:t xml:space="preserve"> y, en segundo lugar,</w:t>
      </w:r>
      <w:r w:rsidRPr="002C13F3">
        <w:rPr>
          <w:rFonts w:ascii="Century" w:hAnsi="Century"/>
          <w:sz w:val="24"/>
          <w:szCs w:val="24"/>
        </w:rPr>
        <w:t xml:space="preserve"> qué criterio de sujeción utilizan cada uno de ellos</w:t>
      </w:r>
      <w:r w:rsidR="009E6E56" w:rsidRPr="002C13F3">
        <w:rPr>
          <w:rFonts w:ascii="Century" w:hAnsi="Century"/>
          <w:sz w:val="24"/>
          <w:szCs w:val="24"/>
        </w:rPr>
        <w:t xml:space="preserve">, el tipo de gravamen </w:t>
      </w:r>
      <w:r w:rsidR="004F6120">
        <w:rPr>
          <w:rFonts w:ascii="Century" w:hAnsi="Century"/>
          <w:sz w:val="24"/>
          <w:szCs w:val="24"/>
        </w:rPr>
        <w:t xml:space="preserve">que establecen </w:t>
      </w:r>
      <w:r w:rsidR="009E6E56" w:rsidRPr="002C13F3">
        <w:rPr>
          <w:rFonts w:ascii="Century" w:hAnsi="Century"/>
          <w:sz w:val="24"/>
          <w:szCs w:val="24"/>
        </w:rPr>
        <w:t>y los</w:t>
      </w:r>
      <w:r w:rsidR="004F6120">
        <w:rPr>
          <w:rFonts w:ascii="Century" w:hAnsi="Century"/>
          <w:sz w:val="24"/>
          <w:szCs w:val="24"/>
        </w:rPr>
        <w:t xml:space="preserve"> principales</w:t>
      </w:r>
      <w:r w:rsidR="009E6E56" w:rsidRPr="002C13F3">
        <w:rPr>
          <w:rFonts w:ascii="Century" w:hAnsi="Century"/>
          <w:sz w:val="24"/>
          <w:szCs w:val="24"/>
        </w:rPr>
        <w:t xml:space="preserve"> beneficios fiscales</w:t>
      </w:r>
      <w:r w:rsidR="004F6120">
        <w:rPr>
          <w:rFonts w:ascii="Century" w:hAnsi="Century"/>
          <w:sz w:val="24"/>
          <w:szCs w:val="24"/>
        </w:rPr>
        <w:t xml:space="preserve"> previstos en cada caso. Para realizar este análisis</w:t>
      </w:r>
      <w:r w:rsidR="00C92D84">
        <w:rPr>
          <w:rFonts w:ascii="Century" w:hAnsi="Century"/>
          <w:sz w:val="24"/>
          <w:szCs w:val="24"/>
        </w:rPr>
        <w:t>,</w:t>
      </w:r>
      <w:r w:rsidR="00FB1A08">
        <w:rPr>
          <w:rFonts w:ascii="Century" w:hAnsi="Century"/>
          <w:sz w:val="24"/>
          <w:szCs w:val="24"/>
        </w:rPr>
        <w:t xml:space="preserve"> se ha </w:t>
      </w:r>
      <w:r w:rsidR="004F6120">
        <w:rPr>
          <w:rFonts w:ascii="Century" w:hAnsi="Century"/>
          <w:sz w:val="24"/>
          <w:szCs w:val="24"/>
        </w:rPr>
        <w:t xml:space="preserve">atendido a distintas </w:t>
      </w:r>
      <w:r w:rsidR="004F6120" w:rsidRPr="00FB1A08">
        <w:rPr>
          <w:rFonts w:ascii="Century" w:hAnsi="Century"/>
          <w:sz w:val="24"/>
          <w:szCs w:val="24"/>
        </w:rPr>
        <w:t>fuentes</w:t>
      </w:r>
      <w:r w:rsidR="00FB1A08" w:rsidRPr="00FB1A08">
        <w:rPr>
          <w:rFonts w:ascii="Century" w:hAnsi="Century" w:cstheme="minorHAnsi"/>
          <w:sz w:val="24"/>
          <w:szCs w:val="24"/>
        </w:rPr>
        <w:t>. Así, hemos atendido</w:t>
      </w:r>
      <w:r w:rsidR="00FB1A08" w:rsidRPr="00FB1A08">
        <w:rPr>
          <w:rFonts w:cstheme="minorHAnsi"/>
          <w:sz w:val="24"/>
          <w:szCs w:val="24"/>
        </w:rPr>
        <w:t>:</w:t>
      </w:r>
      <w:r w:rsidR="004F6120" w:rsidRPr="00FB1A08">
        <w:rPr>
          <w:rFonts w:ascii="Century" w:hAnsi="Century" w:cstheme="minorHAnsi"/>
          <w:sz w:val="24"/>
          <w:szCs w:val="24"/>
        </w:rPr>
        <w:t xml:space="preserve"> </w:t>
      </w:r>
      <w:r w:rsidR="004F6120" w:rsidRPr="00FB1A08">
        <w:rPr>
          <w:rFonts w:ascii="Century" w:hAnsi="Century"/>
          <w:sz w:val="24"/>
          <w:szCs w:val="24"/>
        </w:rPr>
        <w:t>al</w:t>
      </w:r>
      <w:r w:rsidRPr="002C13F3">
        <w:rPr>
          <w:rFonts w:ascii="Century" w:hAnsi="Century"/>
          <w:sz w:val="24"/>
          <w:szCs w:val="24"/>
        </w:rPr>
        <w:t xml:space="preserve"> estudio que cada año realiza Ernst &amp; Young </w:t>
      </w:r>
      <w:r w:rsidR="004F6120">
        <w:rPr>
          <w:rFonts w:ascii="Century" w:hAnsi="Century"/>
          <w:sz w:val="24"/>
          <w:szCs w:val="24"/>
        </w:rPr>
        <w:t>denomina</w:t>
      </w:r>
      <w:r w:rsidR="00537025">
        <w:rPr>
          <w:rFonts w:ascii="Century" w:hAnsi="Century"/>
          <w:sz w:val="24"/>
          <w:szCs w:val="24"/>
        </w:rPr>
        <w:t>do “</w:t>
      </w:r>
      <w:proofErr w:type="spellStart"/>
      <w:r w:rsidRPr="00537025">
        <w:rPr>
          <w:rFonts w:ascii="Century" w:hAnsi="Century"/>
          <w:i/>
          <w:sz w:val="24"/>
          <w:szCs w:val="24"/>
        </w:rPr>
        <w:t>Worldwide</w:t>
      </w:r>
      <w:proofErr w:type="spellEnd"/>
      <w:r w:rsidRPr="00537025">
        <w:rPr>
          <w:rFonts w:ascii="Century" w:hAnsi="Century"/>
          <w:i/>
          <w:sz w:val="24"/>
          <w:szCs w:val="24"/>
        </w:rPr>
        <w:t xml:space="preserve"> Estate and </w:t>
      </w:r>
      <w:proofErr w:type="spellStart"/>
      <w:r w:rsidRPr="00537025">
        <w:rPr>
          <w:rFonts w:ascii="Century" w:hAnsi="Century"/>
          <w:i/>
          <w:sz w:val="24"/>
          <w:szCs w:val="24"/>
        </w:rPr>
        <w:lastRenderedPageBreak/>
        <w:t>Inheritance</w:t>
      </w:r>
      <w:proofErr w:type="spellEnd"/>
      <w:r w:rsidRPr="00537025">
        <w:rPr>
          <w:rFonts w:ascii="Century" w:hAnsi="Century"/>
          <w:i/>
          <w:sz w:val="24"/>
          <w:szCs w:val="24"/>
        </w:rPr>
        <w:t xml:space="preserve"> </w:t>
      </w:r>
      <w:proofErr w:type="spellStart"/>
      <w:r w:rsidRPr="00537025">
        <w:rPr>
          <w:rFonts w:ascii="Century" w:hAnsi="Century"/>
          <w:i/>
          <w:sz w:val="24"/>
          <w:szCs w:val="24"/>
        </w:rPr>
        <w:t>Tax</w:t>
      </w:r>
      <w:proofErr w:type="spellEnd"/>
      <w:r w:rsidRPr="00537025">
        <w:rPr>
          <w:rFonts w:ascii="Century" w:hAnsi="Century"/>
          <w:i/>
          <w:sz w:val="24"/>
          <w:szCs w:val="24"/>
        </w:rPr>
        <w:t xml:space="preserve"> Guide</w:t>
      </w:r>
      <w:r w:rsidR="00537025" w:rsidRPr="00537025">
        <w:rPr>
          <w:rFonts w:ascii="Century" w:hAnsi="Century"/>
          <w:sz w:val="24"/>
          <w:szCs w:val="24"/>
        </w:rPr>
        <w:t>”</w:t>
      </w:r>
      <w:r w:rsidRPr="002C13F3">
        <w:rPr>
          <w:rFonts w:ascii="Century" w:hAnsi="Century"/>
          <w:sz w:val="24"/>
          <w:szCs w:val="24"/>
        </w:rPr>
        <w:t xml:space="preserve"> </w:t>
      </w:r>
      <w:r w:rsidR="00CC68C2" w:rsidRPr="002C13F3">
        <w:rPr>
          <w:rFonts w:ascii="Century" w:hAnsi="Century"/>
          <w:sz w:val="24"/>
          <w:szCs w:val="24"/>
        </w:rPr>
        <w:t xml:space="preserve">sobre las sucesiones </w:t>
      </w:r>
      <w:r w:rsidRPr="002C13F3">
        <w:rPr>
          <w:rFonts w:ascii="Century" w:hAnsi="Century"/>
          <w:sz w:val="24"/>
          <w:szCs w:val="24"/>
        </w:rPr>
        <w:t>de la mayoría de Estados</w:t>
      </w:r>
      <w:r w:rsidR="004F6120" w:rsidRPr="004F6120">
        <w:rPr>
          <w:rFonts w:ascii="Calibri" w:hAnsi="Calibri" w:cs="Calibri"/>
          <w:sz w:val="24"/>
          <w:szCs w:val="24"/>
        </w:rPr>
        <w:t>;</w:t>
      </w:r>
      <w:r w:rsidR="005918EA" w:rsidRPr="002C13F3">
        <w:rPr>
          <w:rFonts w:ascii="Century" w:hAnsi="Century"/>
          <w:sz w:val="24"/>
          <w:szCs w:val="24"/>
        </w:rPr>
        <w:t xml:space="preserve"> la información ofrecida por el Instituto Español de Comercio Exterior</w:t>
      </w:r>
      <w:r w:rsidR="005B72A1" w:rsidRPr="002C13F3">
        <w:rPr>
          <w:rFonts w:ascii="Century" w:hAnsi="Century"/>
          <w:sz w:val="24"/>
          <w:szCs w:val="24"/>
        </w:rPr>
        <w:t xml:space="preserve"> </w:t>
      </w:r>
      <w:r w:rsidR="001708C2" w:rsidRPr="002C13F3">
        <w:rPr>
          <w:rFonts w:ascii="Century" w:hAnsi="Century"/>
          <w:sz w:val="24"/>
          <w:szCs w:val="24"/>
        </w:rPr>
        <w:t>(ICEX)</w:t>
      </w:r>
      <w:r w:rsidR="004F6120" w:rsidRPr="004F6120">
        <w:rPr>
          <w:rFonts w:cstheme="minorHAnsi"/>
          <w:sz w:val="24"/>
          <w:szCs w:val="24"/>
        </w:rPr>
        <w:t>;</w:t>
      </w:r>
      <w:r w:rsidR="004F6120">
        <w:rPr>
          <w:rFonts w:ascii="Century" w:hAnsi="Century"/>
          <w:sz w:val="24"/>
          <w:szCs w:val="24"/>
        </w:rPr>
        <w:t xml:space="preserve"> y,</w:t>
      </w:r>
      <w:r w:rsidR="001708C2" w:rsidRPr="002C13F3">
        <w:rPr>
          <w:rFonts w:ascii="Century" w:hAnsi="Century"/>
          <w:sz w:val="24"/>
          <w:szCs w:val="24"/>
        </w:rPr>
        <w:t xml:space="preserve"> </w:t>
      </w:r>
      <w:r w:rsidR="005B72A1" w:rsidRPr="002C13F3">
        <w:rPr>
          <w:rFonts w:ascii="Century" w:hAnsi="Century"/>
          <w:sz w:val="24"/>
          <w:szCs w:val="24"/>
        </w:rPr>
        <w:t xml:space="preserve">la relación de los impuestos que </w:t>
      </w:r>
      <w:r w:rsidR="008A7787" w:rsidRPr="002C13F3">
        <w:rPr>
          <w:rFonts w:ascii="Century" w:hAnsi="Century"/>
          <w:sz w:val="24"/>
          <w:szCs w:val="24"/>
        </w:rPr>
        <w:t>recoge</w:t>
      </w:r>
      <w:r w:rsidR="005B72A1" w:rsidRPr="002C13F3">
        <w:rPr>
          <w:rFonts w:ascii="Century" w:hAnsi="Century"/>
          <w:sz w:val="24"/>
          <w:szCs w:val="24"/>
        </w:rPr>
        <w:t xml:space="preserve"> la Comunicación</w:t>
      </w:r>
      <w:r w:rsidR="004F6120">
        <w:rPr>
          <w:rFonts w:ascii="Century" w:hAnsi="Century"/>
          <w:sz w:val="24"/>
          <w:szCs w:val="24"/>
        </w:rPr>
        <w:t xml:space="preserve"> de la Comisión Europea</w:t>
      </w:r>
      <w:r w:rsidR="00FB1A08">
        <w:rPr>
          <w:rFonts w:ascii="Century" w:hAnsi="Century"/>
          <w:sz w:val="24"/>
          <w:szCs w:val="24"/>
        </w:rPr>
        <w:t xml:space="preserve"> </w:t>
      </w:r>
      <w:r w:rsidR="005B72A1" w:rsidRPr="002C13F3">
        <w:rPr>
          <w:rFonts w:ascii="Century" w:hAnsi="Century"/>
          <w:sz w:val="24"/>
          <w:szCs w:val="24"/>
        </w:rPr>
        <w:t xml:space="preserve">“Solventar los obstáculos transfronterizos derivados de los impuestos </w:t>
      </w:r>
      <w:r w:rsidR="00B25211">
        <w:rPr>
          <w:rFonts w:ascii="Century" w:hAnsi="Century"/>
          <w:sz w:val="24"/>
          <w:szCs w:val="24"/>
        </w:rPr>
        <w:t>sobre sucesiones en la UE” [COM (</w:t>
      </w:r>
      <w:r w:rsidR="005B72A1" w:rsidRPr="002C13F3">
        <w:rPr>
          <w:rFonts w:ascii="Century" w:hAnsi="Century"/>
          <w:sz w:val="24"/>
          <w:szCs w:val="24"/>
        </w:rPr>
        <w:t>2011</w:t>
      </w:r>
      <w:r w:rsidR="00B25211">
        <w:rPr>
          <w:rFonts w:ascii="Century" w:hAnsi="Century"/>
          <w:sz w:val="24"/>
          <w:szCs w:val="24"/>
        </w:rPr>
        <w:t xml:space="preserve">) </w:t>
      </w:r>
      <w:r w:rsidR="005B72A1" w:rsidRPr="002C13F3">
        <w:rPr>
          <w:rFonts w:ascii="Century" w:hAnsi="Century"/>
          <w:sz w:val="24"/>
          <w:szCs w:val="24"/>
        </w:rPr>
        <w:t>864 final].</w:t>
      </w:r>
      <w:r w:rsidR="00D3483C" w:rsidRPr="002C13F3">
        <w:rPr>
          <w:rFonts w:ascii="Century" w:hAnsi="Century"/>
          <w:sz w:val="24"/>
          <w:szCs w:val="24"/>
        </w:rPr>
        <w:t xml:space="preserve"> </w:t>
      </w:r>
      <w:r w:rsidR="0048254F">
        <w:rPr>
          <w:rFonts w:ascii="Century" w:hAnsi="Century"/>
          <w:sz w:val="24"/>
          <w:szCs w:val="24"/>
        </w:rPr>
        <w:t>V</w:t>
      </w:r>
      <w:r w:rsidRPr="002C13F3">
        <w:rPr>
          <w:rFonts w:ascii="Century" w:hAnsi="Century"/>
          <w:sz w:val="24"/>
          <w:szCs w:val="24"/>
        </w:rPr>
        <w:t>eremos cómo</w:t>
      </w:r>
      <w:r w:rsidR="0048254F">
        <w:rPr>
          <w:rFonts w:ascii="Century" w:hAnsi="Century"/>
          <w:sz w:val="24"/>
          <w:szCs w:val="24"/>
        </w:rPr>
        <w:t xml:space="preserve"> se</w:t>
      </w:r>
      <w:r w:rsidRPr="002C13F3">
        <w:rPr>
          <w:rFonts w:ascii="Century" w:hAnsi="Century"/>
          <w:sz w:val="24"/>
          <w:szCs w:val="24"/>
        </w:rPr>
        <w:t xml:space="preserve"> grava de diferente manera </w:t>
      </w:r>
      <w:r w:rsidR="0048254F">
        <w:rPr>
          <w:rFonts w:ascii="Century" w:hAnsi="Century"/>
          <w:sz w:val="24"/>
          <w:szCs w:val="24"/>
        </w:rPr>
        <w:t xml:space="preserve">a </w:t>
      </w:r>
      <w:r w:rsidRPr="002C13F3">
        <w:rPr>
          <w:rFonts w:ascii="Century" w:hAnsi="Century"/>
          <w:sz w:val="24"/>
          <w:szCs w:val="24"/>
        </w:rPr>
        <w:t>las herencias, produciéndose situaciones de discriminación entre los r</w:t>
      </w:r>
      <w:r w:rsidR="0048254F">
        <w:rPr>
          <w:rFonts w:ascii="Century" w:hAnsi="Century"/>
          <w:sz w:val="24"/>
          <w:szCs w:val="24"/>
        </w:rPr>
        <w:t>esidentes y no residentes de l</w:t>
      </w:r>
      <w:r w:rsidRPr="002C13F3">
        <w:rPr>
          <w:rFonts w:ascii="Century" w:hAnsi="Century"/>
          <w:sz w:val="24"/>
          <w:szCs w:val="24"/>
        </w:rPr>
        <w:t>os</w:t>
      </w:r>
      <w:r w:rsidR="0048254F">
        <w:rPr>
          <w:rFonts w:ascii="Century" w:hAnsi="Century"/>
          <w:sz w:val="24"/>
          <w:szCs w:val="24"/>
        </w:rPr>
        <w:t xml:space="preserve"> diferentes</w:t>
      </w:r>
      <w:r w:rsidRPr="002C13F3">
        <w:rPr>
          <w:rFonts w:ascii="Century" w:hAnsi="Century"/>
          <w:sz w:val="24"/>
          <w:szCs w:val="24"/>
        </w:rPr>
        <w:t xml:space="preserve"> territorios</w:t>
      </w:r>
      <w:r w:rsidRPr="002C13F3">
        <w:rPr>
          <w:rStyle w:val="Refdenotaalpie"/>
          <w:rFonts w:ascii="Century" w:hAnsi="Century"/>
          <w:sz w:val="24"/>
          <w:szCs w:val="24"/>
        </w:rPr>
        <w:footnoteReference w:id="29"/>
      </w:r>
      <w:r w:rsidRPr="002C13F3">
        <w:rPr>
          <w:rFonts w:ascii="Century" w:hAnsi="Century"/>
          <w:sz w:val="24"/>
          <w:szCs w:val="24"/>
        </w:rPr>
        <w:t>.</w:t>
      </w:r>
    </w:p>
    <w:p w:rsidR="00491232" w:rsidRPr="002C13F3" w:rsidRDefault="0048254F" w:rsidP="002D11BC">
      <w:pPr>
        <w:spacing w:after="240" w:line="360" w:lineRule="auto"/>
        <w:jc w:val="both"/>
        <w:rPr>
          <w:rFonts w:ascii="Century" w:hAnsi="Century"/>
          <w:sz w:val="24"/>
          <w:szCs w:val="24"/>
        </w:rPr>
      </w:pPr>
      <w:r>
        <w:rPr>
          <w:rFonts w:ascii="Century" w:hAnsi="Century"/>
          <w:sz w:val="24"/>
          <w:szCs w:val="24"/>
        </w:rPr>
        <w:tab/>
        <w:t>E</w:t>
      </w:r>
      <w:r w:rsidR="003126CE" w:rsidRPr="002C13F3">
        <w:rPr>
          <w:rFonts w:ascii="Century" w:hAnsi="Century"/>
          <w:sz w:val="24"/>
          <w:szCs w:val="24"/>
        </w:rPr>
        <w:t>n los últimos años, la UE se ha convertido en una encrucijada de vari</w:t>
      </w:r>
      <w:r>
        <w:rPr>
          <w:rFonts w:ascii="Century" w:hAnsi="Century"/>
          <w:sz w:val="24"/>
          <w:szCs w:val="24"/>
        </w:rPr>
        <w:t>as normativas fiscales</w:t>
      </w:r>
      <w:r w:rsidR="003126CE" w:rsidRPr="002C13F3">
        <w:rPr>
          <w:rFonts w:ascii="Century" w:hAnsi="Century"/>
          <w:sz w:val="24"/>
          <w:szCs w:val="24"/>
        </w:rPr>
        <w:t xml:space="preserve"> en materia de sucesiones que varían considerablemente de un Estado miembro a otro</w:t>
      </w:r>
      <w:r>
        <w:rPr>
          <w:rFonts w:ascii="Century" w:hAnsi="Century"/>
          <w:sz w:val="24"/>
          <w:szCs w:val="24"/>
        </w:rPr>
        <w:t>,</w:t>
      </w:r>
      <w:r w:rsidR="003126CE" w:rsidRPr="002C13F3">
        <w:rPr>
          <w:rFonts w:ascii="Century" w:hAnsi="Century"/>
          <w:sz w:val="24"/>
          <w:szCs w:val="24"/>
        </w:rPr>
        <w:t xml:space="preserve"> conllevando una serie de problemas</w:t>
      </w:r>
      <w:r>
        <w:rPr>
          <w:rFonts w:ascii="Century" w:hAnsi="Century"/>
          <w:sz w:val="24"/>
          <w:szCs w:val="24"/>
        </w:rPr>
        <w:t xml:space="preserve"> de relevancia</w:t>
      </w:r>
      <w:r w:rsidR="003126CE" w:rsidRPr="002C13F3">
        <w:rPr>
          <w:rFonts w:ascii="Century" w:hAnsi="Century"/>
          <w:sz w:val="24"/>
          <w:szCs w:val="24"/>
        </w:rPr>
        <w:t>, que ha</w:t>
      </w:r>
      <w:r>
        <w:rPr>
          <w:rFonts w:ascii="Century" w:hAnsi="Century"/>
          <w:sz w:val="24"/>
          <w:szCs w:val="24"/>
        </w:rPr>
        <w:t>n</w:t>
      </w:r>
      <w:r w:rsidR="003126CE" w:rsidRPr="002C13F3">
        <w:rPr>
          <w:rFonts w:ascii="Century" w:hAnsi="Century"/>
          <w:sz w:val="24"/>
          <w:szCs w:val="24"/>
        </w:rPr>
        <w:t xml:space="preserve"> desembocado en </w:t>
      </w:r>
      <w:r>
        <w:rPr>
          <w:rFonts w:ascii="Century" w:hAnsi="Century"/>
          <w:sz w:val="24"/>
          <w:szCs w:val="24"/>
        </w:rPr>
        <w:t xml:space="preserve">diferentes pronunciamientos del </w:t>
      </w:r>
      <w:r w:rsidR="003126CE" w:rsidRPr="002C13F3">
        <w:rPr>
          <w:rFonts w:ascii="Century" w:hAnsi="Century"/>
          <w:sz w:val="24"/>
          <w:szCs w:val="24"/>
        </w:rPr>
        <w:t xml:space="preserve">TJUE. </w:t>
      </w:r>
      <w:r>
        <w:rPr>
          <w:rFonts w:ascii="Century" w:hAnsi="Century"/>
          <w:sz w:val="24"/>
          <w:szCs w:val="24"/>
        </w:rPr>
        <w:t>Los referidos problemas se deben</w:t>
      </w:r>
      <w:r w:rsidR="00AA63F0" w:rsidRPr="002C13F3">
        <w:rPr>
          <w:rFonts w:ascii="Century" w:hAnsi="Century"/>
          <w:sz w:val="24"/>
          <w:szCs w:val="24"/>
        </w:rPr>
        <w:t xml:space="preserve"> en gran parte a la aplicación de</w:t>
      </w:r>
      <w:r>
        <w:rPr>
          <w:rFonts w:ascii="Century" w:hAnsi="Century"/>
          <w:sz w:val="24"/>
          <w:szCs w:val="24"/>
        </w:rPr>
        <w:t xml:space="preserve"> diferentes</w:t>
      </w:r>
      <w:r w:rsidR="00AA63F0" w:rsidRPr="002C13F3">
        <w:rPr>
          <w:rFonts w:ascii="Century" w:hAnsi="Century"/>
          <w:sz w:val="24"/>
          <w:szCs w:val="24"/>
        </w:rPr>
        <w:t xml:space="preserve"> criterios de sujeción, tipos de gravámenes y beneficios fiscales </w:t>
      </w:r>
      <w:r>
        <w:rPr>
          <w:rFonts w:ascii="Century" w:hAnsi="Century"/>
          <w:sz w:val="24"/>
          <w:szCs w:val="24"/>
        </w:rPr>
        <w:t xml:space="preserve">en </w:t>
      </w:r>
      <w:r w:rsidR="00AA63F0" w:rsidRPr="002C13F3">
        <w:rPr>
          <w:rFonts w:ascii="Century" w:hAnsi="Century"/>
          <w:sz w:val="24"/>
          <w:szCs w:val="24"/>
        </w:rPr>
        <w:t>cada Estado</w:t>
      </w:r>
      <w:r w:rsidR="009244BA">
        <w:rPr>
          <w:rFonts w:ascii="Century" w:hAnsi="Century"/>
          <w:sz w:val="24"/>
          <w:szCs w:val="24"/>
        </w:rPr>
        <w:t xml:space="preserve"> miembro</w:t>
      </w:r>
      <w:r w:rsidR="00AA63F0" w:rsidRPr="002C13F3">
        <w:rPr>
          <w:rFonts w:ascii="Century" w:hAnsi="Century"/>
          <w:sz w:val="24"/>
          <w:szCs w:val="24"/>
        </w:rPr>
        <w:t>, que hacen que</w:t>
      </w:r>
      <w:r w:rsidR="00491232" w:rsidRPr="002C13F3">
        <w:rPr>
          <w:rFonts w:ascii="Century" w:hAnsi="Century"/>
          <w:sz w:val="24"/>
          <w:szCs w:val="24"/>
        </w:rPr>
        <w:t xml:space="preserve"> </w:t>
      </w:r>
      <w:r>
        <w:rPr>
          <w:rFonts w:ascii="Century" w:hAnsi="Century"/>
          <w:sz w:val="24"/>
          <w:szCs w:val="24"/>
        </w:rPr>
        <w:t xml:space="preserve">los supuestos y cuantías a pagar </w:t>
      </w:r>
      <w:r w:rsidR="00AA63F0" w:rsidRPr="002C13F3">
        <w:rPr>
          <w:rFonts w:ascii="Century" w:hAnsi="Century"/>
          <w:sz w:val="24"/>
          <w:szCs w:val="24"/>
        </w:rPr>
        <w:t xml:space="preserve">difieran notablemente aunque las situaciones sean las </w:t>
      </w:r>
      <w:r>
        <w:rPr>
          <w:rFonts w:ascii="Century" w:hAnsi="Century"/>
          <w:sz w:val="24"/>
          <w:szCs w:val="24"/>
        </w:rPr>
        <w:t>mismas.</w:t>
      </w:r>
      <w:r w:rsidR="00AA63F0" w:rsidRPr="002C13F3">
        <w:rPr>
          <w:rFonts w:ascii="Century" w:hAnsi="Century"/>
          <w:sz w:val="24"/>
          <w:szCs w:val="24"/>
        </w:rPr>
        <w:t xml:space="preserve"> </w:t>
      </w:r>
    </w:p>
    <w:p w:rsidR="000B0BF0" w:rsidRDefault="003126CE" w:rsidP="0038514C">
      <w:pPr>
        <w:spacing w:after="240" w:line="360" w:lineRule="auto"/>
        <w:jc w:val="both"/>
        <w:rPr>
          <w:rFonts w:ascii="Century" w:hAnsi="Century"/>
          <w:sz w:val="24"/>
          <w:szCs w:val="24"/>
        </w:rPr>
      </w:pPr>
      <w:r w:rsidRPr="002C13F3">
        <w:rPr>
          <w:rFonts w:ascii="Century" w:hAnsi="Century"/>
          <w:sz w:val="24"/>
          <w:szCs w:val="24"/>
        </w:rPr>
        <w:tab/>
      </w:r>
      <w:r w:rsidR="00DD6D65">
        <w:rPr>
          <w:rFonts w:ascii="Century" w:hAnsi="Century"/>
          <w:sz w:val="24"/>
          <w:szCs w:val="24"/>
        </w:rPr>
        <w:t>A continuación, pasamos a exponer e</w:t>
      </w:r>
      <w:r w:rsidR="00CB2BA5">
        <w:rPr>
          <w:rFonts w:ascii="Century" w:hAnsi="Century"/>
          <w:sz w:val="24"/>
          <w:szCs w:val="24"/>
        </w:rPr>
        <w:t xml:space="preserve">n </w:t>
      </w:r>
      <w:r w:rsidR="00DD6D65">
        <w:rPr>
          <w:rFonts w:ascii="Century" w:hAnsi="Century"/>
          <w:sz w:val="24"/>
          <w:szCs w:val="24"/>
        </w:rPr>
        <w:t>una</w:t>
      </w:r>
      <w:r w:rsidR="00CB2BA5">
        <w:rPr>
          <w:rFonts w:ascii="Century" w:hAnsi="Century"/>
          <w:sz w:val="24"/>
          <w:szCs w:val="24"/>
        </w:rPr>
        <w:t xml:space="preserve"> tabla comparativa </w:t>
      </w:r>
      <w:r w:rsidR="00E709CA">
        <w:rPr>
          <w:rFonts w:ascii="Century" w:hAnsi="Century"/>
          <w:sz w:val="24"/>
          <w:szCs w:val="24"/>
        </w:rPr>
        <w:t>la situación vigente</w:t>
      </w:r>
      <w:r w:rsidRPr="002C13F3">
        <w:rPr>
          <w:rFonts w:ascii="Century" w:hAnsi="Century"/>
          <w:sz w:val="24"/>
          <w:szCs w:val="24"/>
        </w:rPr>
        <w:t xml:space="preserve"> </w:t>
      </w:r>
      <w:r w:rsidR="0012088D">
        <w:rPr>
          <w:rFonts w:ascii="Century" w:hAnsi="Century"/>
          <w:sz w:val="24"/>
          <w:szCs w:val="24"/>
        </w:rPr>
        <w:t xml:space="preserve">en materia </w:t>
      </w:r>
      <w:r w:rsidRPr="002C13F3">
        <w:rPr>
          <w:rFonts w:ascii="Century" w:hAnsi="Century"/>
          <w:sz w:val="24"/>
          <w:szCs w:val="24"/>
        </w:rPr>
        <w:t>de</w:t>
      </w:r>
      <w:r w:rsidR="00CB2BA5">
        <w:rPr>
          <w:rFonts w:ascii="Century" w:hAnsi="Century"/>
          <w:sz w:val="24"/>
          <w:szCs w:val="24"/>
        </w:rPr>
        <w:t xml:space="preserve"> imposición de</w:t>
      </w:r>
      <w:r w:rsidRPr="002C13F3">
        <w:rPr>
          <w:rFonts w:ascii="Century" w:hAnsi="Century"/>
          <w:sz w:val="24"/>
          <w:szCs w:val="24"/>
        </w:rPr>
        <w:t xml:space="preserve"> las sucesiones </w:t>
      </w:r>
      <w:r w:rsidR="009244BA">
        <w:rPr>
          <w:rFonts w:ascii="Century" w:hAnsi="Century"/>
          <w:sz w:val="24"/>
          <w:szCs w:val="24"/>
        </w:rPr>
        <w:t>de</w:t>
      </w:r>
      <w:r w:rsidR="00DD6D65">
        <w:rPr>
          <w:rFonts w:ascii="Century" w:hAnsi="Century"/>
          <w:sz w:val="24"/>
          <w:szCs w:val="24"/>
        </w:rPr>
        <w:t xml:space="preserve"> los EM de</w:t>
      </w:r>
      <w:r w:rsidR="00CB2BA5">
        <w:rPr>
          <w:rFonts w:ascii="Century" w:hAnsi="Century"/>
          <w:sz w:val="24"/>
          <w:szCs w:val="24"/>
        </w:rPr>
        <w:t xml:space="preserve"> la UE</w:t>
      </w:r>
      <w:r w:rsidRPr="002C13F3">
        <w:rPr>
          <w:rFonts w:ascii="Century" w:hAnsi="Century"/>
          <w:sz w:val="24"/>
          <w:szCs w:val="24"/>
        </w:rPr>
        <w:t xml:space="preserve">, delimitando </w:t>
      </w:r>
      <w:r w:rsidR="00685A0B">
        <w:rPr>
          <w:rFonts w:ascii="Century" w:hAnsi="Century"/>
          <w:sz w:val="24"/>
          <w:szCs w:val="24"/>
        </w:rPr>
        <w:t>t</w:t>
      </w:r>
      <w:r w:rsidRPr="002C13F3">
        <w:rPr>
          <w:rFonts w:ascii="Century" w:hAnsi="Century"/>
          <w:sz w:val="24"/>
          <w:szCs w:val="24"/>
        </w:rPr>
        <w:t>res aspectos</w:t>
      </w:r>
      <w:r w:rsidRPr="00514069">
        <w:rPr>
          <w:rFonts w:cstheme="minorHAnsi"/>
          <w:sz w:val="24"/>
          <w:szCs w:val="24"/>
        </w:rPr>
        <w:t>:</w:t>
      </w:r>
      <w:r w:rsidRPr="002C13F3">
        <w:rPr>
          <w:rFonts w:ascii="Century" w:hAnsi="Century"/>
          <w:sz w:val="24"/>
          <w:szCs w:val="24"/>
        </w:rPr>
        <w:t xml:space="preserve"> la existencia o no del referido impuesto, el criterio de sujeción adoptado</w:t>
      </w:r>
      <w:r w:rsidR="00685A0B">
        <w:rPr>
          <w:rFonts w:ascii="Century" w:hAnsi="Century"/>
          <w:sz w:val="24"/>
          <w:szCs w:val="24"/>
        </w:rPr>
        <w:t>,</w:t>
      </w:r>
      <w:r w:rsidRPr="002C13F3">
        <w:rPr>
          <w:rFonts w:ascii="Century" w:hAnsi="Century"/>
          <w:sz w:val="24"/>
          <w:szCs w:val="24"/>
        </w:rPr>
        <w:t xml:space="preserve"> y el tipo máximo fijado en la sucesión más directa, de padres a hijos.</w:t>
      </w:r>
      <w:r w:rsidR="00DD6D65">
        <w:rPr>
          <w:rFonts w:ascii="Century" w:hAnsi="Century"/>
          <w:sz w:val="24"/>
          <w:szCs w:val="24"/>
        </w:rPr>
        <w:t xml:space="preserve"> </w:t>
      </w:r>
      <w:r w:rsidR="00537025">
        <w:rPr>
          <w:rFonts w:ascii="Century" w:hAnsi="Century"/>
          <w:sz w:val="24"/>
          <w:szCs w:val="24"/>
        </w:rPr>
        <w:t xml:space="preserve">Después </w:t>
      </w:r>
      <w:r w:rsidR="00DD6D65">
        <w:rPr>
          <w:rFonts w:ascii="Century" w:hAnsi="Century"/>
          <w:sz w:val="24"/>
          <w:szCs w:val="24"/>
        </w:rPr>
        <w:t>efectuaremo</w:t>
      </w:r>
      <w:r w:rsidR="00685A0B">
        <w:rPr>
          <w:rFonts w:ascii="Century" w:hAnsi="Century"/>
          <w:sz w:val="24"/>
          <w:szCs w:val="24"/>
        </w:rPr>
        <w:t>s</w:t>
      </w:r>
      <w:r w:rsidR="002042AC">
        <w:rPr>
          <w:rFonts w:ascii="Century" w:hAnsi="Century"/>
          <w:sz w:val="24"/>
          <w:szCs w:val="24"/>
        </w:rPr>
        <w:t xml:space="preserve"> una concisa observación sobre</w:t>
      </w:r>
      <w:r w:rsidR="00E709CA">
        <w:rPr>
          <w:rFonts w:ascii="Century" w:hAnsi="Century"/>
          <w:sz w:val="24"/>
          <w:szCs w:val="24"/>
        </w:rPr>
        <w:t xml:space="preserve"> los </w:t>
      </w:r>
      <w:r w:rsidR="00685A0B">
        <w:rPr>
          <w:rFonts w:ascii="Century" w:hAnsi="Century"/>
          <w:sz w:val="24"/>
          <w:szCs w:val="24"/>
        </w:rPr>
        <w:t xml:space="preserve">principales </w:t>
      </w:r>
      <w:r w:rsidR="00E709CA">
        <w:rPr>
          <w:rFonts w:ascii="Century" w:hAnsi="Century"/>
          <w:sz w:val="24"/>
          <w:szCs w:val="24"/>
        </w:rPr>
        <w:t xml:space="preserve">beneficios fiscales </w:t>
      </w:r>
      <w:r w:rsidR="009244BA">
        <w:rPr>
          <w:rFonts w:ascii="Century" w:hAnsi="Century"/>
          <w:sz w:val="24"/>
          <w:szCs w:val="24"/>
        </w:rPr>
        <w:t>establecidos</w:t>
      </w:r>
      <w:r w:rsidR="00E709CA">
        <w:rPr>
          <w:rFonts w:ascii="Century" w:hAnsi="Century"/>
          <w:sz w:val="24"/>
          <w:szCs w:val="24"/>
        </w:rPr>
        <w:t xml:space="preserve"> en cada Estado</w:t>
      </w:r>
      <w:r w:rsidR="009244BA">
        <w:rPr>
          <w:rFonts w:ascii="Century" w:hAnsi="Century"/>
          <w:sz w:val="24"/>
          <w:szCs w:val="24"/>
        </w:rPr>
        <w:t xml:space="preserve"> miembro</w:t>
      </w:r>
      <w:r w:rsidR="00E709CA">
        <w:rPr>
          <w:rFonts w:ascii="Century" w:hAnsi="Century"/>
          <w:sz w:val="24"/>
          <w:szCs w:val="24"/>
        </w:rPr>
        <w:t xml:space="preserve">, con </w:t>
      </w:r>
      <w:r w:rsidR="009244BA">
        <w:rPr>
          <w:rFonts w:ascii="Century" w:hAnsi="Century"/>
          <w:sz w:val="24"/>
          <w:szCs w:val="24"/>
        </w:rPr>
        <w:t>la finalidad</w:t>
      </w:r>
      <w:r w:rsidR="00E709CA">
        <w:rPr>
          <w:rFonts w:ascii="Century" w:hAnsi="Century"/>
          <w:sz w:val="24"/>
          <w:szCs w:val="24"/>
        </w:rPr>
        <w:t xml:space="preserve"> de </w:t>
      </w:r>
      <w:r w:rsidR="00685A0B">
        <w:rPr>
          <w:rFonts w:ascii="Century" w:hAnsi="Century"/>
          <w:sz w:val="24"/>
          <w:szCs w:val="24"/>
        </w:rPr>
        <w:t xml:space="preserve">comprobar </w:t>
      </w:r>
      <w:r w:rsidR="00CB2BA5">
        <w:rPr>
          <w:rFonts w:ascii="Century" w:hAnsi="Century"/>
          <w:sz w:val="24"/>
          <w:szCs w:val="24"/>
        </w:rPr>
        <w:t>su</w:t>
      </w:r>
      <w:r w:rsidR="00DD6D65">
        <w:rPr>
          <w:rFonts w:ascii="Century" w:hAnsi="Century"/>
          <w:sz w:val="24"/>
          <w:szCs w:val="24"/>
        </w:rPr>
        <w:t>s</w:t>
      </w:r>
      <w:r w:rsidR="00CB2BA5">
        <w:rPr>
          <w:rFonts w:ascii="Century" w:hAnsi="Century"/>
          <w:sz w:val="24"/>
          <w:szCs w:val="24"/>
        </w:rPr>
        <w:t xml:space="preserve"> cuantía</w:t>
      </w:r>
      <w:r w:rsidR="00DD6D65">
        <w:rPr>
          <w:rFonts w:ascii="Century" w:hAnsi="Century"/>
          <w:sz w:val="24"/>
          <w:szCs w:val="24"/>
        </w:rPr>
        <w:t>s</w:t>
      </w:r>
      <w:r w:rsidR="00CB2BA5">
        <w:rPr>
          <w:rFonts w:ascii="Century" w:hAnsi="Century"/>
          <w:sz w:val="24"/>
          <w:szCs w:val="24"/>
        </w:rPr>
        <w:t xml:space="preserve"> y su</w:t>
      </w:r>
      <w:r w:rsidR="00DD6D65">
        <w:rPr>
          <w:rFonts w:ascii="Century" w:hAnsi="Century"/>
          <w:sz w:val="24"/>
          <w:szCs w:val="24"/>
        </w:rPr>
        <w:t>s</w:t>
      </w:r>
      <w:r w:rsidR="00CB2BA5">
        <w:rPr>
          <w:rFonts w:ascii="Century" w:hAnsi="Century"/>
          <w:sz w:val="24"/>
          <w:szCs w:val="24"/>
        </w:rPr>
        <w:t xml:space="preserve"> objeto</w:t>
      </w:r>
      <w:r w:rsidR="00DD6D65">
        <w:rPr>
          <w:rFonts w:ascii="Century" w:hAnsi="Century"/>
          <w:sz w:val="24"/>
          <w:szCs w:val="24"/>
        </w:rPr>
        <w:t>s</w:t>
      </w:r>
      <w:r w:rsidR="00CB2BA5">
        <w:rPr>
          <w:rFonts w:ascii="Century" w:hAnsi="Century"/>
          <w:sz w:val="24"/>
          <w:szCs w:val="24"/>
        </w:rPr>
        <w:t xml:space="preserve"> con relación a nuestro país.</w:t>
      </w:r>
    </w:p>
    <w:p w:rsidR="006E572A" w:rsidRDefault="006E572A" w:rsidP="0038514C">
      <w:pPr>
        <w:spacing w:after="240" w:line="360" w:lineRule="auto"/>
        <w:jc w:val="both"/>
        <w:rPr>
          <w:rFonts w:ascii="Century" w:hAnsi="Century"/>
          <w:sz w:val="24"/>
          <w:szCs w:val="24"/>
        </w:rPr>
      </w:pPr>
    </w:p>
    <w:p w:rsidR="006E572A" w:rsidRDefault="006E572A" w:rsidP="0038514C">
      <w:pPr>
        <w:spacing w:after="240" w:line="360" w:lineRule="auto"/>
        <w:jc w:val="both"/>
        <w:rPr>
          <w:rFonts w:ascii="Century" w:hAnsi="Century"/>
          <w:sz w:val="24"/>
          <w:szCs w:val="24"/>
        </w:rPr>
      </w:pPr>
    </w:p>
    <w:p w:rsidR="00FB08C4" w:rsidRPr="00537025" w:rsidRDefault="00FB08C4" w:rsidP="008B219E">
      <w:pPr>
        <w:spacing w:after="240" w:line="360" w:lineRule="auto"/>
        <w:jc w:val="center"/>
        <w:rPr>
          <w:rFonts w:ascii="Century" w:hAnsi="Century"/>
          <w:b/>
          <w:sz w:val="20"/>
          <w:szCs w:val="20"/>
          <w:u w:val="single"/>
        </w:rPr>
      </w:pPr>
      <w:r w:rsidRPr="00537025">
        <w:rPr>
          <w:rFonts w:ascii="Century" w:hAnsi="Century"/>
          <w:b/>
          <w:sz w:val="20"/>
          <w:szCs w:val="20"/>
          <w:u w:val="single"/>
        </w:rPr>
        <w:lastRenderedPageBreak/>
        <w:t>Comparativa</w:t>
      </w:r>
      <w:r w:rsidR="00595BC2" w:rsidRPr="00537025">
        <w:rPr>
          <w:rFonts w:ascii="Century" w:hAnsi="Century"/>
          <w:b/>
          <w:sz w:val="20"/>
          <w:szCs w:val="20"/>
          <w:u w:val="single"/>
        </w:rPr>
        <w:t xml:space="preserve"> de los</w:t>
      </w:r>
      <w:r w:rsidRPr="00537025">
        <w:rPr>
          <w:rFonts w:ascii="Century" w:hAnsi="Century"/>
          <w:b/>
          <w:sz w:val="20"/>
          <w:szCs w:val="20"/>
          <w:u w:val="single"/>
        </w:rPr>
        <w:t xml:space="preserve"> impuestos</w:t>
      </w:r>
      <w:r w:rsidR="00595BC2" w:rsidRPr="00537025">
        <w:rPr>
          <w:rFonts w:ascii="Century" w:hAnsi="Century"/>
          <w:b/>
          <w:sz w:val="20"/>
          <w:szCs w:val="20"/>
          <w:u w:val="single"/>
        </w:rPr>
        <w:t xml:space="preserve"> de</w:t>
      </w:r>
      <w:r w:rsidRPr="00537025">
        <w:rPr>
          <w:rFonts w:ascii="Century" w:hAnsi="Century"/>
          <w:b/>
          <w:sz w:val="20"/>
          <w:szCs w:val="20"/>
          <w:u w:val="single"/>
        </w:rPr>
        <w:t xml:space="preserve"> sucesión en la UE</w:t>
      </w:r>
    </w:p>
    <w:tbl>
      <w:tblPr>
        <w:tblStyle w:val="Tablaconcuadrcula"/>
        <w:tblW w:w="5000" w:type="pct"/>
        <w:jc w:val="center"/>
        <w:tblLook w:val="04A0"/>
      </w:tblPr>
      <w:tblGrid>
        <w:gridCol w:w="1826"/>
        <w:gridCol w:w="1690"/>
        <w:gridCol w:w="2536"/>
        <w:gridCol w:w="2668"/>
      </w:tblGrid>
      <w:tr w:rsidR="003126CE" w:rsidRPr="0049163C" w:rsidTr="00C2067E">
        <w:trPr>
          <w:trHeight w:val="284"/>
          <w:jc w:val="center"/>
        </w:trPr>
        <w:tc>
          <w:tcPr>
            <w:tcW w:w="1047" w:type="pct"/>
            <w:vAlign w:val="center"/>
          </w:tcPr>
          <w:p w:rsidR="003126CE" w:rsidRPr="0049163C" w:rsidRDefault="003126CE" w:rsidP="0049163C">
            <w:pPr>
              <w:spacing w:line="360" w:lineRule="auto"/>
              <w:jc w:val="center"/>
              <w:rPr>
                <w:rFonts w:ascii="Century" w:hAnsi="Century"/>
                <w:b/>
                <w:sz w:val="20"/>
                <w:szCs w:val="20"/>
              </w:rPr>
            </w:pPr>
            <w:r w:rsidRPr="0049163C">
              <w:rPr>
                <w:rFonts w:ascii="Century" w:hAnsi="Century"/>
                <w:b/>
                <w:sz w:val="20"/>
                <w:szCs w:val="20"/>
              </w:rPr>
              <w:t>Estado miembro</w:t>
            </w:r>
          </w:p>
        </w:tc>
        <w:tc>
          <w:tcPr>
            <w:tcW w:w="969" w:type="pct"/>
            <w:vAlign w:val="center"/>
          </w:tcPr>
          <w:p w:rsidR="003126CE" w:rsidRPr="0049163C" w:rsidRDefault="003126CE" w:rsidP="0049163C">
            <w:pPr>
              <w:spacing w:line="360" w:lineRule="auto"/>
              <w:jc w:val="center"/>
              <w:rPr>
                <w:rFonts w:ascii="Century" w:hAnsi="Century"/>
                <w:b/>
                <w:sz w:val="20"/>
                <w:szCs w:val="20"/>
              </w:rPr>
            </w:pPr>
            <w:r w:rsidRPr="0049163C">
              <w:rPr>
                <w:rFonts w:ascii="Century" w:hAnsi="Century"/>
                <w:b/>
                <w:sz w:val="20"/>
                <w:szCs w:val="20"/>
              </w:rPr>
              <w:t>Impuesto sobre Sucesiones</w:t>
            </w:r>
          </w:p>
        </w:tc>
        <w:tc>
          <w:tcPr>
            <w:tcW w:w="1454" w:type="pct"/>
            <w:vAlign w:val="center"/>
          </w:tcPr>
          <w:p w:rsidR="003C2047" w:rsidRDefault="003126CE" w:rsidP="003C2047">
            <w:pPr>
              <w:spacing w:line="360" w:lineRule="auto"/>
              <w:jc w:val="center"/>
              <w:rPr>
                <w:rFonts w:ascii="Century" w:hAnsi="Century"/>
                <w:b/>
                <w:sz w:val="20"/>
                <w:szCs w:val="20"/>
              </w:rPr>
            </w:pPr>
            <w:r w:rsidRPr="0049163C">
              <w:rPr>
                <w:rFonts w:ascii="Century" w:hAnsi="Century"/>
                <w:b/>
                <w:sz w:val="20"/>
                <w:szCs w:val="20"/>
              </w:rPr>
              <w:t xml:space="preserve">Tipo máximo </w:t>
            </w:r>
          </w:p>
          <w:p w:rsidR="003C2047" w:rsidRDefault="003126CE" w:rsidP="003C2047">
            <w:pPr>
              <w:spacing w:line="360" w:lineRule="auto"/>
              <w:jc w:val="center"/>
              <w:rPr>
                <w:rFonts w:ascii="Century" w:hAnsi="Century"/>
                <w:b/>
                <w:sz w:val="20"/>
                <w:szCs w:val="20"/>
              </w:rPr>
            </w:pPr>
            <w:r w:rsidRPr="0049163C">
              <w:rPr>
                <w:rFonts w:ascii="Century" w:hAnsi="Century"/>
                <w:b/>
                <w:sz w:val="20"/>
                <w:szCs w:val="20"/>
              </w:rPr>
              <w:t xml:space="preserve">en sucesiones </w:t>
            </w:r>
          </w:p>
          <w:p w:rsidR="003126CE" w:rsidRPr="0049163C" w:rsidRDefault="003126CE" w:rsidP="003C2047">
            <w:pPr>
              <w:spacing w:line="360" w:lineRule="auto"/>
              <w:jc w:val="center"/>
              <w:rPr>
                <w:rFonts w:ascii="Century" w:hAnsi="Century"/>
                <w:b/>
                <w:sz w:val="20"/>
                <w:szCs w:val="20"/>
              </w:rPr>
            </w:pPr>
            <w:r w:rsidRPr="0049163C">
              <w:rPr>
                <w:rFonts w:ascii="Century" w:hAnsi="Century"/>
                <w:b/>
                <w:sz w:val="20"/>
                <w:szCs w:val="20"/>
              </w:rPr>
              <w:t>de padres a hijos</w:t>
            </w:r>
          </w:p>
        </w:tc>
        <w:tc>
          <w:tcPr>
            <w:tcW w:w="1530" w:type="pct"/>
            <w:vAlign w:val="center"/>
          </w:tcPr>
          <w:p w:rsidR="003126CE" w:rsidRPr="0049163C" w:rsidRDefault="003126CE" w:rsidP="0049163C">
            <w:pPr>
              <w:spacing w:line="360" w:lineRule="auto"/>
              <w:jc w:val="center"/>
              <w:rPr>
                <w:rFonts w:ascii="Century" w:hAnsi="Century"/>
                <w:b/>
                <w:sz w:val="20"/>
                <w:szCs w:val="20"/>
              </w:rPr>
            </w:pPr>
          </w:p>
          <w:p w:rsidR="003126CE" w:rsidRPr="0049163C" w:rsidRDefault="003126CE" w:rsidP="0049163C">
            <w:pPr>
              <w:spacing w:line="360" w:lineRule="auto"/>
              <w:jc w:val="center"/>
              <w:rPr>
                <w:rFonts w:ascii="Century" w:hAnsi="Century"/>
                <w:b/>
                <w:sz w:val="20"/>
                <w:szCs w:val="20"/>
              </w:rPr>
            </w:pPr>
            <w:r w:rsidRPr="0049163C">
              <w:rPr>
                <w:rFonts w:ascii="Century" w:hAnsi="Century"/>
                <w:b/>
                <w:sz w:val="20"/>
                <w:szCs w:val="20"/>
              </w:rPr>
              <w:t>Criterio de sujeción</w:t>
            </w:r>
          </w:p>
          <w:p w:rsidR="00473C8D" w:rsidRPr="0049163C" w:rsidRDefault="00473C8D" w:rsidP="0049163C">
            <w:pPr>
              <w:spacing w:line="360" w:lineRule="auto"/>
              <w:jc w:val="center"/>
              <w:rPr>
                <w:rFonts w:ascii="Century" w:hAnsi="Century"/>
                <w:b/>
                <w:sz w:val="20"/>
                <w:szCs w:val="20"/>
              </w:rPr>
            </w:pPr>
          </w:p>
        </w:tc>
      </w:tr>
      <w:tr w:rsidR="003126CE" w:rsidRPr="0049163C" w:rsidTr="00C2067E">
        <w:trPr>
          <w:trHeight w:val="284"/>
          <w:jc w:val="center"/>
        </w:trPr>
        <w:tc>
          <w:tcPr>
            <w:tcW w:w="1047" w:type="pct"/>
            <w:vAlign w:val="center"/>
          </w:tcPr>
          <w:p w:rsidR="003126CE" w:rsidRPr="0049163C" w:rsidRDefault="003126CE" w:rsidP="0049163C">
            <w:pPr>
              <w:spacing w:line="360" w:lineRule="auto"/>
              <w:jc w:val="center"/>
              <w:rPr>
                <w:rFonts w:ascii="Century" w:hAnsi="Century"/>
                <w:sz w:val="20"/>
                <w:szCs w:val="20"/>
              </w:rPr>
            </w:pPr>
            <w:r w:rsidRPr="0049163C">
              <w:rPr>
                <w:rFonts w:ascii="Century" w:hAnsi="Century"/>
                <w:sz w:val="20"/>
                <w:szCs w:val="20"/>
              </w:rPr>
              <w:t>Alemania</w:t>
            </w:r>
          </w:p>
        </w:tc>
        <w:tc>
          <w:tcPr>
            <w:tcW w:w="969" w:type="pct"/>
            <w:vAlign w:val="center"/>
          </w:tcPr>
          <w:p w:rsidR="003126CE" w:rsidRPr="0049163C" w:rsidRDefault="003126CE" w:rsidP="0049163C">
            <w:pPr>
              <w:spacing w:line="360" w:lineRule="auto"/>
              <w:jc w:val="center"/>
              <w:rPr>
                <w:rFonts w:ascii="Century" w:hAnsi="Century"/>
                <w:sz w:val="20"/>
                <w:szCs w:val="20"/>
              </w:rPr>
            </w:pPr>
            <w:r w:rsidRPr="0049163C">
              <w:rPr>
                <w:rFonts w:ascii="Century" w:hAnsi="Century"/>
                <w:sz w:val="20"/>
                <w:szCs w:val="20"/>
              </w:rPr>
              <w:t>SÍ</w:t>
            </w:r>
          </w:p>
        </w:tc>
        <w:tc>
          <w:tcPr>
            <w:tcW w:w="1454" w:type="pct"/>
            <w:vAlign w:val="center"/>
          </w:tcPr>
          <w:p w:rsidR="003126CE" w:rsidRPr="0049163C" w:rsidRDefault="003126CE" w:rsidP="0049163C">
            <w:pPr>
              <w:spacing w:line="360" w:lineRule="auto"/>
              <w:jc w:val="center"/>
              <w:rPr>
                <w:rFonts w:ascii="Century" w:hAnsi="Century"/>
                <w:sz w:val="20"/>
                <w:szCs w:val="20"/>
              </w:rPr>
            </w:pPr>
            <w:r w:rsidRPr="0049163C">
              <w:rPr>
                <w:rFonts w:ascii="Century" w:hAnsi="Century"/>
                <w:sz w:val="20"/>
                <w:szCs w:val="20"/>
              </w:rPr>
              <w:t>30%</w:t>
            </w:r>
          </w:p>
        </w:tc>
        <w:tc>
          <w:tcPr>
            <w:tcW w:w="1530" w:type="pct"/>
            <w:vAlign w:val="center"/>
          </w:tcPr>
          <w:p w:rsidR="003126CE" w:rsidRPr="0049163C" w:rsidRDefault="003126CE" w:rsidP="0049163C">
            <w:pPr>
              <w:spacing w:line="360" w:lineRule="auto"/>
              <w:jc w:val="center"/>
              <w:rPr>
                <w:rFonts w:ascii="Century" w:hAnsi="Century"/>
                <w:sz w:val="20"/>
                <w:szCs w:val="20"/>
              </w:rPr>
            </w:pPr>
            <w:r w:rsidRPr="0049163C">
              <w:rPr>
                <w:rFonts w:ascii="Century" w:hAnsi="Century"/>
                <w:sz w:val="20"/>
                <w:szCs w:val="20"/>
              </w:rPr>
              <w:t>Principio de residencia</w:t>
            </w:r>
          </w:p>
        </w:tc>
      </w:tr>
      <w:tr w:rsidR="003126CE" w:rsidRPr="0049163C" w:rsidTr="00C2067E">
        <w:trPr>
          <w:trHeight w:val="284"/>
          <w:jc w:val="center"/>
        </w:trPr>
        <w:tc>
          <w:tcPr>
            <w:tcW w:w="1047" w:type="pct"/>
            <w:vAlign w:val="center"/>
          </w:tcPr>
          <w:p w:rsidR="003126CE" w:rsidRPr="0049163C" w:rsidRDefault="003126CE" w:rsidP="0049163C">
            <w:pPr>
              <w:spacing w:line="360" w:lineRule="auto"/>
              <w:jc w:val="center"/>
              <w:rPr>
                <w:rFonts w:ascii="Century" w:hAnsi="Century"/>
                <w:sz w:val="20"/>
                <w:szCs w:val="20"/>
              </w:rPr>
            </w:pPr>
            <w:r w:rsidRPr="0049163C">
              <w:rPr>
                <w:rFonts w:ascii="Century" w:hAnsi="Century"/>
                <w:sz w:val="20"/>
                <w:szCs w:val="20"/>
              </w:rPr>
              <w:t>Austria</w:t>
            </w:r>
          </w:p>
        </w:tc>
        <w:tc>
          <w:tcPr>
            <w:tcW w:w="969" w:type="pct"/>
            <w:vAlign w:val="center"/>
          </w:tcPr>
          <w:p w:rsidR="003126CE" w:rsidRPr="0049163C" w:rsidRDefault="003126CE" w:rsidP="0049163C">
            <w:pPr>
              <w:spacing w:line="360" w:lineRule="auto"/>
              <w:jc w:val="center"/>
              <w:rPr>
                <w:rFonts w:ascii="Century" w:hAnsi="Century"/>
                <w:sz w:val="20"/>
                <w:szCs w:val="20"/>
              </w:rPr>
            </w:pPr>
            <w:r w:rsidRPr="0049163C">
              <w:rPr>
                <w:rFonts w:ascii="Century" w:hAnsi="Century"/>
                <w:sz w:val="20"/>
                <w:szCs w:val="20"/>
              </w:rPr>
              <w:t>NO</w:t>
            </w:r>
          </w:p>
        </w:tc>
        <w:tc>
          <w:tcPr>
            <w:tcW w:w="1454" w:type="pct"/>
            <w:vAlign w:val="center"/>
          </w:tcPr>
          <w:p w:rsidR="003126CE" w:rsidRPr="0049163C" w:rsidRDefault="003126CE" w:rsidP="0049163C">
            <w:pPr>
              <w:spacing w:line="360" w:lineRule="auto"/>
              <w:jc w:val="center"/>
              <w:rPr>
                <w:rFonts w:ascii="Century" w:hAnsi="Century"/>
                <w:sz w:val="20"/>
                <w:szCs w:val="20"/>
              </w:rPr>
            </w:pPr>
            <w:r w:rsidRPr="0049163C">
              <w:rPr>
                <w:rFonts w:ascii="Century" w:hAnsi="Century"/>
                <w:sz w:val="20"/>
                <w:szCs w:val="20"/>
              </w:rPr>
              <w:t>-</w:t>
            </w:r>
          </w:p>
        </w:tc>
        <w:tc>
          <w:tcPr>
            <w:tcW w:w="1530" w:type="pct"/>
            <w:vAlign w:val="center"/>
          </w:tcPr>
          <w:p w:rsidR="003126CE" w:rsidRPr="0049163C" w:rsidRDefault="003126CE" w:rsidP="0049163C">
            <w:pPr>
              <w:spacing w:line="360" w:lineRule="auto"/>
              <w:jc w:val="center"/>
              <w:rPr>
                <w:rFonts w:ascii="Century" w:hAnsi="Century"/>
                <w:sz w:val="20"/>
                <w:szCs w:val="20"/>
              </w:rPr>
            </w:pPr>
            <w:r w:rsidRPr="0049163C">
              <w:rPr>
                <w:rFonts w:ascii="Century" w:hAnsi="Century"/>
                <w:sz w:val="20"/>
                <w:szCs w:val="20"/>
              </w:rPr>
              <w:t>-</w:t>
            </w:r>
          </w:p>
        </w:tc>
      </w:tr>
      <w:tr w:rsidR="003126CE" w:rsidRPr="0049163C" w:rsidTr="00C2067E">
        <w:trPr>
          <w:trHeight w:val="226"/>
          <w:jc w:val="center"/>
        </w:trPr>
        <w:tc>
          <w:tcPr>
            <w:tcW w:w="1047" w:type="pct"/>
            <w:vAlign w:val="center"/>
          </w:tcPr>
          <w:p w:rsidR="003126CE" w:rsidRPr="0049163C" w:rsidRDefault="003126CE" w:rsidP="0049163C">
            <w:pPr>
              <w:spacing w:line="360" w:lineRule="auto"/>
              <w:jc w:val="center"/>
              <w:rPr>
                <w:rFonts w:ascii="Century" w:hAnsi="Century"/>
                <w:sz w:val="20"/>
                <w:szCs w:val="20"/>
              </w:rPr>
            </w:pPr>
            <w:r w:rsidRPr="0049163C">
              <w:rPr>
                <w:rFonts w:ascii="Century" w:hAnsi="Century"/>
                <w:sz w:val="20"/>
                <w:szCs w:val="20"/>
              </w:rPr>
              <w:t>Bélgica</w:t>
            </w:r>
          </w:p>
        </w:tc>
        <w:tc>
          <w:tcPr>
            <w:tcW w:w="969" w:type="pct"/>
            <w:vAlign w:val="center"/>
          </w:tcPr>
          <w:p w:rsidR="003126CE" w:rsidRPr="0049163C" w:rsidRDefault="003126CE" w:rsidP="0049163C">
            <w:pPr>
              <w:spacing w:line="360" w:lineRule="auto"/>
              <w:jc w:val="center"/>
              <w:rPr>
                <w:rFonts w:ascii="Century" w:hAnsi="Century"/>
                <w:sz w:val="20"/>
                <w:szCs w:val="20"/>
              </w:rPr>
            </w:pPr>
            <w:r w:rsidRPr="0049163C">
              <w:rPr>
                <w:rFonts w:ascii="Century" w:hAnsi="Century"/>
                <w:sz w:val="20"/>
                <w:szCs w:val="20"/>
              </w:rPr>
              <w:t>SÍ</w:t>
            </w:r>
          </w:p>
        </w:tc>
        <w:tc>
          <w:tcPr>
            <w:tcW w:w="1454" w:type="pct"/>
            <w:vAlign w:val="center"/>
          </w:tcPr>
          <w:p w:rsidR="003126CE" w:rsidRPr="0049163C" w:rsidRDefault="003126CE" w:rsidP="0049163C">
            <w:pPr>
              <w:spacing w:line="360" w:lineRule="auto"/>
              <w:jc w:val="center"/>
              <w:rPr>
                <w:rFonts w:ascii="Century" w:hAnsi="Century"/>
                <w:sz w:val="20"/>
                <w:szCs w:val="20"/>
              </w:rPr>
            </w:pPr>
            <w:r w:rsidRPr="0049163C">
              <w:rPr>
                <w:rFonts w:ascii="Century" w:hAnsi="Century"/>
                <w:sz w:val="20"/>
                <w:szCs w:val="20"/>
              </w:rPr>
              <w:t>30%</w:t>
            </w:r>
          </w:p>
        </w:tc>
        <w:tc>
          <w:tcPr>
            <w:tcW w:w="1530" w:type="pct"/>
            <w:vAlign w:val="center"/>
          </w:tcPr>
          <w:p w:rsidR="003126CE" w:rsidRPr="0049163C" w:rsidRDefault="003126CE" w:rsidP="0049163C">
            <w:pPr>
              <w:spacing w:line="360" w:lineRule="auto"/>
              <w:jc w:val="center"/>
              <w:rPr>
                <w:rFonts w:ascii="Century" w:hAnsi="Century"/>
                <w:sz w:val="20"/>
                <w:szCs w:val="20"/>
              </w:rPr>
            </w:pPr>
            <w:r w:rsidRPr="0049163C">
              <w:rPr>
                <w:rFonts w:ascii="Century" w:hAnsi="Century"/>
                <w:sz w:val="20"/>
                <w:szCs w:val="20"/>
              </w:rPr>
              <w:t>Principio de residencia</w:t>
            </w:r>
          </w:p>
        </w:tc>
      </w:tr>
      <w:tr w:rsidR="003126CE" w:rsidRPr="0049163C" w:rsidTr="00C2067E">
        <w:trPr>
          <w:trHeight w:val="284"/>
          <w:jc w:val="center"/>
        </w:trPr>
        <w:tc>
          <w:tcPr>
            <w:tcW w:w="1047" w:type="pct"/>
            <w:vAlign w:val="center"/>
          </w:tcPr>
          <w:p w:rsidR="003126CE" w:rsidRPr="0049163C" w:rsidRDefault="003126CE" w:rsidP="0049163C">
            <w:pPr>
              <w:spacing w:line="360" w:lineRule="auto"/>
              <w:jc w:val="center"/>
              <w:rPr>
                <w:rFonts w:ascii="Century" w:hAnsi="Century"/>
                <w:sz w:val="20"/>
                <w:szCs w:val="20"/>
              </w:rPr>
            </w:pPr>
            <w:r w:rsidRPr="0049163C">
              <w:rPr>
                <w:rFonts w:ascii="Century" w:hAnsi="Century"/>
                <w:sz w:val="20"/>
                <w:szCs w:val="20"/>
              </w:rPr>
              <w:t>Bulgaria</w:t>
            </w:r>
          </w:p>
        </w:tc>
        <w:tc>
          <w:tcPr>
            <w:tcW w:w="969" w:type="pct"/>
            <w:vAlign w:val="center"/>
          </w:tcPr>
          <w:p w:rsidR="003126CE" w:rsidRPr="0049163C" w:rsidRDefault="003126CE" w:rsidP="0049163C">
            <w:pPr>
              <w:spacing w:line="360" w:lineRule="auto"/>
              <w:jc w:val="center"/>
              <w:rPr>
                <w:rFonts w:ascii="Century" w:hAnsi="Century"/>
                <w:sz w:val="20"/>
                <w:szCs w:val="20"/>
              </w:rPr>
            </w:pPr>
            <w:r w:rsidRPr="0049163C">
              <w:rPr>
                <w:rFonts w:ascii="Century" w:hAnsi="Century"/>
                <w:sz w:val="20"/>
                <w:szCs w:val="20"/>
              </w:rPr>
              <w:t>SÍ</w:t>
            </w:r>
          </w:p>
        </w:tc>
        <w:tc>
          <w:tcPr>
            <w:tcW w:w="1454" w:type="pct"/>
            <w:vAlign w:val="center"/>
          </w:tcPr>
          <w:p w:rsidR="003126CE" w:rsidRPr="0049163C" w:rsidRDefault="003126CE" w:rsidP="0049163C">
            <w:pPr>
              <w:spacing w:line="360" w:lineRule="auto"/>
              <w:jc w:val="center"/>
              <w:rPr>
                <w:rFonts w:ascii="Century" w:hAnsi="Century"/>
                <w:sz w:val="20"/>
                <w:szCs w:val="20"/>
              </w:rPr>
            </w:pPr>
            <w:r w:rsidRPr="0049163C">
              <w:rPr>
                <w:rFonts w:ascii="Century" w:hAnsi="Century"/>
                <w:sz w:val="20"/>
                <w:szCs w:val="20"/>
              </w:rPr>
              <w:t>0%</w:t>
            </w:r>
          </w:p>
        </w:tc>
        <w:tc>
          <w:tcPr>
            <w:tcW w:w="1530" w:type="pct"/>
            <w:vAlign w:val="center"/>
          </w:tcPr>
          <w:p w:rsidR="003126CE" w:rsidRPr="0049163C" w:rsidRDefault="003126CE" w:rsidP="0049163C">
            <w:pPr>
              <w:spacing w:line="360" w:lineRule="auto"/>
              <w:jc w:val="center"/>
              <w:rPr>
                <w:rFonts w:ascii="Century" w:hAnsi="Century"/>
                <w:sz w:val="20"/>
                <w:szCs w:val="20"/>
              </w:rPr>
            </w:pPr>
            <w:r w:rsidRPr="0049163C">
              <w:rPr>
                <w:rFonts w:ascii="Century" w:hAnsi="Century"/>
                <w:sz w:val="20"/>
                <w:szCs w:val="20"/>
              </w:rPr>
              <w:t>Principio de nacionalidad</w:t>
            </w:r>
          </w:p>
        </w:tc>
      </w:tr>
      <w:tr w:rsidR="003126CE" w:rsidRPr="0049163C" w:rsidTr="00C2067E">
        <w:trPr>
          <w:trHeight w:val="284"/>
          <w:jc w:val="center"/>
        </w:trPr>
        <w:tc>
          <w:tcPr>
            <w:tcW w:w="1047" w:type="pct"/>
            <w:vAlign w:val="center"/>
          </w:tcPr>
          <w:p w:rsidR="003126CE" w:rsidRPr="0049163C" w:rsidRDefault="003126CE" w:rsidP="0049163C">
            <w:pPr>
              <w:spacing w:line="360" w:lineRule="auto"/>
              <w:jc w:val="center"/>
              <w:rPr>
                <w:rFonts w:ascii="Century" w:hAnsi="Century"/>
                <w:sz w:val="20"/>
                <w:szCs w:val="20"/>
              </w:rPr>
            </w:pPr>
            <w:r w:rsidRPr="0049163C">
              <w:rPr>
                <w:rFonts w:ascii="Century" w:hAnsi="Century"/>
                <w:sz w:val="20"/>
                <w:szCs w:val="20"/>
              </w:rPr>
              <w:t>Chipre</w:t>
            </w:r>
          </w:p>
        </w:tc>
        <w:tc>
          <w:tcPr>
            <w:tcW w:w="969" w:type="pct"/>
            <w:vAlign w:val="center"/>
          </w:tcPr>
          <w:p w:rsidR="003126CE" w:rsidRPr="0049163C" w:rsidRDefault="003126CE" w:rsidP="0049163C">
            <w:pPr>
              <w:spacing w:line="360" w:lineRule="auto"/>
              <w:jc w:val="center"/>
              <w:rPr>
                <w:rFonts w:ascii="Century" w:hAnsi="Century"/>
                <w:sz w:val="20"/>
                <w:szCs w:val="20"/>
              </w:rPr>
            </w:pPr>
            <w:r w:rsidRPr="0049163C">
              <w:rPr>
                <w:rFonts w:ascii="Century" w:hAnsi="Century"/>
                <w:sz w:val="20"/>
                <w:szCs w:val="20"/>
              </w:rPr>
              <w:t>NO</w:t>
            </w:r>
          </w:p>
        </w:tc>
        <w:tc>
          <w:tcPr>
            <w:tcW w:w="1454" w:type="pct"/>
            <w:vAlign w:val="center"/>
          </w:tcPr>
          <w:p w:rsidR="003126CE" w:rsidRPr="0049163C" w:rsidRDefault="003126CE" w:rsidP="0049163C">
            <w:pPr>
              <w:spacing w:line="360" w:lineRule="auto"/>
              <w:jc w:val="center"/>
              <w:rPr>
                <w:rFonts w:ascii="Century" w:hAnsi="Century"/>
                <w:sz w:val="20"/>
                <w:szCs w:val="20"/>
              </w:rPr>
            </w:pPr>
            <w:r w:rsidRPr="0049163C">
              <w:rPr>
                <w:rFonts w:ascii="Century" w:hAnsi="Century"/>
                <w:sz w:val="20"/>
                <w:szCs w:val="20"/>
              </w:rPr>
              <w:t>-</w:t>
            </w:r>
          </w:p>
        </w:tc>
        <w:tc>
          <w:tcPr>
            <w:tcW w:w="1530" w:type="pct"/>
            <w:vAlign w:val="center"/>
          </w:tcPr>
          <w:p w:rsidR="003126CE" w:rsidRPr="0049163C" w:rsidRDefault="003126CE" w:rsidP="0049163C">
            <w:pPr>
              <w:spacing w:line="360" w:lineRule="auto"/>
              <w:jc w:val="center"/>
              <w:rPr>
                <w:rFonts w:ascii="Century" w:hAnsi="Century"/>
                <w:sz w:val="20"/>
                <w:szCs w:val="20"/>
              </w:rPr>
            </w:pPr>
            <w:r w:rsidRPr="0049163C">
              <w:rPr>
                <w:rFonts w:ascii="Century" w:hAnsi="Century"/>
                <w:sz w:val="20"/>
                <w:szCs w:val="20"/>
              </w:rPr>
              <w:t>-</w:t>
            </w:r>
          </w:p>
        </w:tc>
      </w:tr>
      <w:tr w:rsidR="003126CE" w:rsidRPr="0049163C" w:rsidTr="00C2067E">
        <w:trPr>
          <w:trHeight w:val="284"/>
          <w:jc w:val="center"/>
        </w:trPr>
        <w:tc>
          <w:tcPr>
            <w:tcW w:w="1047" w:type="pct"/>
            <w:vAlign w:val="center"/>
          </w:tcPr>
          <w:p w:rsidR="003126CE" w:rsidRPr="0049163C" w:rsidRDefault="003126CE" w:rsidP="0049163C">
            <w:pPr>
              <w:spacing w:line="360" w:lineRule="auto"/>
              <w:jc w:val="center"/>
              <w:rPr>
                <w:rFonts w:ascii="Century" w:hAnsi="Century"/>
                <w:sz w:val="20"/>
                <w:szCs w:val="20"/>
              </w:rPr>
            </w:pPr>
            <w:r w:rsidRPr="0049163C">
              <w:rPr>
                <w:rFonts w:ascii="Century" w:hAnsi="Century"/>
                <w:sz w:val="20"/>
                <w:szCs w:val="20"/>
              </w:rPr>
              <w:t>Croacia</w:t>
            </w:r>
          </w:p>
        </w:tc>
        <w:tc>
          <w:tcPr>
            <w:tcW w:w="969" w:type="pct"/>
            <w:vAlign w:val="center"/>
          </w:tcPr>
          <w:p w:rsidR="003126CE" w:rsidRPr="0049163C" w:rsidRDefault="003126CE" w:rsidP="0049163C">
            <w:pPr>
              <w:spacing w:line="360" w:lineRule="auto"/>
              <w:jc w:val="center"/>
              <w:rPr>
                <w:rFonts w:ascii="Century" w:hAnsi="Century"/>
                <w:sz w:val="20"/>
                <w:szCs w:val="20"/>
              </w:rPr>
            </w:pPr>
            <w:r w:rsidRPr="0049163C">
              <w:rPr>
                <w:rFonts w:ascii="Century" w:hAnsi="Century"/>
                <w:sz w:val="20"/>
                <w:szCs w:val="20"/>
              </w:rPr>
              <w:t>SÍ</w:t>
            </w:r>
          </w:p>
        </w:tc>
        <w:tc>
          <w:tcPr>
            <w:tcW w:w="1454" w:type="pct"/>
            <w:vAlign w:val="center"/>
          </w:tcPr>
          <w:p w:rsidR="003126CE" w:rsidRPr="0049163C" w:rsidRDefault="003126CE" w:rsidP="0049163C">
            <w:pPr>
              <w:spacing w:line="360" w:lineRule="auto"/>
              <w:jc w:val="center"/>
              <w:rPr>
                <w:rFonts w:ascii="Century" w:hAnsi="Century"/>
                <w:sz w:val="20"/>
                <w:szCs w:val="20"/>
              </w:rPr>
            </w:pPr>
            <w:r w:rsidRPr="0049163C">
              <w:rPr>
                <w:rFonts w:ascii="Century" w:hAnsi="Century"/>
                <w:sz w:val="20"/>
                <w:szCs w:val="20"/>
              </w:rPr>
              <w:t>5%</w:t>
            </w:r>
          </w:p>
        </w:tc>
        <w:tc>
          <w:tcPr>
            <w:tcW w:w="1530" w:type="pct"/>
            <w:vAlign w:val="center"/>
          </w:tcPr>
          <w:p w:rsidR="003126CE" w:rsidRPr="0049163C" w:rsidRDefault="003126CE" w:rsidP="0049163C">
            <w:pPr>
              <w:spacing w:line="360" w:lineRule="auto"/>
              <w:jc w:val="center"/>
              <w:rPr>
                <w:rFonts w:ascii="Century" w:hAnsi="Century"/>
                <w:sz w:val="20"/>
                <w:szCs w:val="20"/>
              </w:rPr>
            </w:pPr>
            <w:r w:rsidRPr="0049163C">
              <w:rPr>
                <w:rFonts w:ascii="Century" w:hAnsi="Century"/>
                <w:sz w:val="20"/>
                <w:szCs w:val="20"/>
              </w:rPr>
              <w:t>Principio de nacionalidad</w:t>
            </w:r>
          </w:p>
        </w:tc>
      </w:tr>
      <w:tr w:rsidR="003126CE" w:rsidRPr="0049163C" w:rsidTr="00C2067E">
        <w:trPr>
          <w:trHeight w:val="284"/>
          <w:jc w:val="center"/>
        </w:trPr>
        <w:tc>
          <w:tcPr>
            <w:tcW w:w="1047" w:type="pct"/>
            <w:vAlign w:val="center"/>
          </w:tcPr>
          <w:p w:rsidR="003126CE" w:rsidRPr="0049163C" w:rsidRDefault="003126CE" w:rsidP="0049163C">
            <w:pPr>
              <w:spacing w:line="360" w:lineRule="auto"/>
              <w:jc w:val="center"/>
              <w:rPr>
                <w:rFonts w:ascii="Century" w:hAnsi="Century"/>
                <w:sz w:val="20"/>
                <w:szCs w:val="20"/>
              </w:rPr>
            </w:pPr>
            <w:r w:rsidRPr="0049163C">
              <w:rPr>
                <w:rFonts w:ascii="Century" w:hAnsi="Century"/>
                <w:sz w:val="20"/>
                <w:szCs w:val="20"/>
              </w:rPr>
              <w:t>Dinamarca</w:t>
            </w:r>
          </w:p>
        </w:tc>
        <w:tc>
          <w:tcPr>
            <w:tcW w:w="969" w:type="pct"/>
            <w:vAlign w:val="center"/>
          </w:tcPr>
          <w:p w:rsidR="003126CE" w:rsidRPr="0049163C" w:rsidRDefault="003126CE" w:rsidP="0049163C">
            <w:pPr>
              <w:spacing w:line="360" w:lineRule="auto"/>
              <w:jc w:val="center"/>
              <w:rPr>
                <w:rFonts w:ascii="Century" w:hAnsi="Century"/>
                <w:sz w:val="20"/>
                <w:szCs w:val="20"/>
              </w:rPr>
            </w:pPr>
            <w:r w:rsidRPr="0049163C">
              <w:rPr>
                <w:rFonts w:ascii="Century" w:hAnsi="Century"/>
                <w:sz w:val="20"/>
                <w:szCs w:val="20"/>
              </w:rPr>
              <w:t>SÍ</w:t>
            </w:r>
          </w:p>
        </w:tc>
        <w:tc>
          <w:tcPr>
            <w:tcW w:w="1454" w:type="pct"/>
            <w:vAlign w:val="center"/>
          </w:tcPr>
          <w:p w:rsidR="003126CE" w:rsidRPr="0049163C" w:rsidRDefault="003126CE" w:rsidP="0049163C">
            <w:pPr>
              <w:spacing w:line="360" w:lineRule="auto"/>
              <w:jc w:val="center"/>
              <w:rPr>
                <w:rFonts w:ascii="Century" w:hAnsi="Century"/>
                <w:sz w:val="20"/>
                <w:szCs w:val="20"/>
              </w:rPr>
            </w:pPr>
            <w:r w:rsidRPr="0049163C">
              <w:rPr>
                <w:rFonts w:ascii="Century" w:hAnsi="Century"/>
                <w:sz w:val="20"/>
                <w:szCs w:val="20"/>
              </w:rPr>
              <w:t>15% (Fijo)</w:t>
            </w:r>
          </w:p>
        </w:tc>
        <w:tc>
          <w:tcPr>
            <w:tcW w:w="1530" w:type="pct"/>
            <w:vAlign w:val="center"/>
          </w:tcPr>
          <w:p w:rsidR="003126CE" w:rsidRPr="0049163C" w:rsidRDefault="003126CE" w:rsidP="0049163C">
            <w:pPr>
              <w:spacing w:line="360" w:lineRule="auto"/>
              <w:jc w:val="center"/>
              <w:rPr>
                <w:rFonts w:ascii="Century" w:hAnsi="Century"/>
                <w:sz w:val="20"/>
                <w:szCs w:val="20"/>
              </w:rPr>
            </w:pPr>
            <w:r w:rsidRPr="0049163C">
              <w:rPr>
                <w:rFonts w:ascii="Century" w:hAnsi="Century"/>
                <w:sz w:val="20"/>
                <w:szCs w:val="20"/>
              </w:rPr>
              <w:t>Principio de domicilio</w:t>
            </w:r>
          </w:p>
        </w:tc>
      </w:tr>
      <w:tr w:rsidR="003126CE" w:rsidRPr="0049163C" w:rsidTr="00C2067E">
        <w:trPr>
          <w:trHeight w:val="284"/>
          <w:jc w:val="center"/>
        </w:trPr>
        <w:tc>
          <w:tcPr>
            <w:tcW w:w="1047" w:type="pct"/>
            <w:vAlign w:val="center"/>
          </w:tcPr>
          <w:p w:rsidR="003126CE" w:rsidRPr="0049163C" w:rsidRDefault="003126CE" w:rsidP="0049163C">
            <w:pPr>
              <w:spacing w:line="360" w:lineRule="auto"/>
              <w:jc w:val="center"/>
              <w:rPr>
                <w:rFonts w:ascii="Century" w:hAnsi="Century"/>
                <w:sz w:val="20"/>
                <w:szCs w:val="20"/>
              </w:rPr>
            </w:pPr>
            <w:r w:rsidRPr="0049163C">
              <w:rPr>
                <w:rFonts w:ascii="Century" w:hAnsi="Century"/>
                <w:sz w:val="20"/>
                <w:szCs w:val="20"/>
              </w:rPr>
              <w:t>Eslovaquia</w:t>
            </w:r>
          </w:p>
        </w:tc>
        <w:tc>
          <w:tcPr>
            <w:tcW w:w="969" w:type="pct"/>
            <w:vAlign w:val="center"/>
          </w:tcPr>
          <w:p w:rsidR="003126CE" w:rsidRPr="0049163C" w:rsidRDefault="003126CE" w:rsidP="0049163C">
            <w:pPr>
              <w:spacing w:line="360" w:lineRule="auto"/>
              <w:jc w:val="center"/>
              <w:rPr>
                <w:rFonts w:ascii="Century" w:hAnsi="Century"/>
                <w:sz w:val="20"/>
                <w:szCs w:val="20"/>
              </w:rPr>
            </w:pPr>
            <w:r w:rsidRPr="0049163C">
              <w:rPr>
                <w:rFonts w:ascii="Century" w:hAnsi="Century"/>
                <w:sz w:val="20"/>
                <w:szCs w:val="20"/>
              </w:rPr>
              <w:t>NO</w:t>
            </w:r>
          </w:p>
        </w:tc>
        <w:tc>
          <w:tcPr>
            <w:tcW w:w="1454" w:type="pct"/>
            <w:vAlign w:val="center"/>
          </w:tcPr>
          <w:p w:rsidR="003126CE" w:rsidRPr="0049163C" w:rsidRDefault="003126CE" w:rsidP="0049163C">
            <w:pPr>
              <w:spacing w:line="360" w:lineRule="auto"/>
              <w:jc w:val="center"/>
              <w:rPr>
                <w:rFonts w:ascii="Century" w:hAnsi="Century"/>
                <w:sz w:val="20"/>
                <w:szCs w:val="20"/>
              </w:rPr>
            </w:pPr>
            <w:r w:rsidRPr="0049163C">
              <w:rPr>
                <w:rFonts w:ascii="Century" w:hAnsi="Century"/>
                <w:sz w:val="20"/>
                <w:szCs w:val="20"/>
              </w:rPr>
              <w:t>-</w:t>
            </w:r>
          </w:p>
        </w:tc>
        <w:tc>
          <w:tcPr>
            <w:tcW w:w="1530" w:type="pct"/>
            <w:vAlign w:val="center"/>
          </w:tcPr>
          <w:p w:rsidR="003126CE" w:rsidRPr="0049163C" w:rsidRDefault="003126CE" w:rsidP="0049163C">
            <w:pPr>
              <w:spacing w:line="360" w:lineRule="auto"/>
              <w:jc w:val="center"/>
              <w:rPr>
                <w:rFonts w:ascii="Century" w:hAnsi="Century"/>
                <w:sz w:val="20"/>
                <w:szCs w:val="20"/>
              </w:rPr>
            </w:pPr>
            <w:r w:rsidRPr="0049163C">
              <w:rPr>
                <w:rFonts w:ascii="Century" w:hAnsi="Century"/>
                <w:sz w:val="20"/>
                <w:szCs w:val="20"/>
              </w:rPr>
              <w:t>-</w:t>
            </w:r>
          </w:p>
        </w:tc>
      </w:tr>
      <w:tr w:rsidR="003126CE" w:rsidRPr="0049163C" w:rsidTr="00C2067E">
        <w:trPr>
          <w:trHeight w:val="284"/>
          <w:jc w:val="center"/>
        </w:trPr>
        <w:tc>
          <w:tcPr>
            <w:tcW w:w="1047" w:type="pct"/>
            <w:vAlign w:val="center"/>
          </w:tcPr>
          <w:p w:rsidR="003126CE" w:rsidRPr="0049163C" w:rsidRDefault="003126CE" w:rsidP="0049163C">
            <w:pPr>
              <w:spacing w:line="360" w:lineRule="auto"/>
              <w:jc w:val="center"/>
              <w:rPr>
                <w:rFonts w:ascii="Century" w:hAnsi="Century"/>
                <w:sz w:val="20"/>
                <w:szCs w:val="20"/>
              </w:rPr>
            </w:pPr>
            <w:r w:rsidRPr="0049163C">
              <w:rPr>
                <w:rFonts w:ascii="Century" w:hAnsi="Century"/>
                <w:sz w:val="20"/>
                <w:szCs w:val="20"/>
              </w:rPr>
              <w:t>Eslovenia</w:t>
            </w:r>
          </w:p>
        </w:tc>
        <w:tc>
          <w:tcPr>
            <w:tcW w:w="969" w:type="pct"/>
            <w:vAlign w:val="center"/>
          </w:tcPr>
          <w:p w:rsidR="003126CE" w:rsidRPr="0049163C" w:rsidRDefault="003126CE" w:rsidP="0049163C">
            <w:pPr>
              <w:spacing w:line="360" w:lineRule="auto"/>
              <w:jc w:val="center"/>
              <w:rPr>
                <w:rFonts w:ascii="Century" w:hAnsi="Century"/>
                <w:sz w:val="20"/>
                <w:szCs w:val="20"/>
              </w:rPr>
            </w:pPr>
            <w:r w:rsidRPr="0049163C">
              <w:rPr>
                <w:rFonts w:ascii="Century" w:hAnsi="Century"/>
                <w:sz w:val="20"/>
                <w:szCs w:val="20"/>
              </w:rPr>
              <w:t>SÍ</w:t>
            </w:r>
          </w:p>
        </w:tc>
        <w:tc>
          <w:tcPr>
            <w:tcW w:w="1454" w:type="pct"/>
            <w:vAlign w:val="center"/>
          </w:tcPr>
          <w:p w:rsidR="003126CE" w:rsidRPr="0049163C" w:rsidRDefault="003126CE" w:rsidP="0049163C">
            <w:pPr>
              <w:spacing w:line="360" w:lineRule="auto"/>
              <w:jc w:val="center"/>
              <w:rPr>
                <w:rFonts w:ascii="Century" w:hAnsi="Century"/>
                <w:sz w:val="20"/>
                <w:szCs w:val="20"/>
              </w:rPr>
            </w:pPr>
            <w:r w:rsidRPr="0049163C">
              <w:rPr>
                <w:rFonts w:ascii="Century" w:hAnsi="Century"/>
                <w:sz w:val="20"/>
                <w:szCs w:val="20"/>
              </w:rPr>
              <w:t>0%</w:t>
            </w:r>
          </w:p>
        </w:tc>
        <w:tc>
          <w:tcPr>
            <w:tcW w:w="1530" w:type="pct"/>
            <w:vAlign w:val="center"/>
          </w:tcPr>
          <w:p w:rsidR="003126CE" w:rsidRPr="0049163C" w:rsidRDefault="003126CE" w:rsidP="0049163C">
            <w:pPr>
              <w:spacing w:line="360" w:lineRule="auto"/>
              <w:jc w:val="center"/>
              <w:rPr>
                <w:rFonts w:ascii="Century" w:hAnsi="Century"/>
                <w:sz w:val="20"/>
                <w:szCs w:val="20"/>
              </w:rPr>
            </w:pPr>
            <w:r w:rsidRPr="0049163C">
              <w:rPr>
                <w:rFonts w:ascii="Century" w:hAnsi="Century"/>
                <w:sz w:val="20"/>
                <w:szCs w:val="20"/>
              </w:rPr>
              <w:t>Principio de residencia</w:t>
            </w:r>
          </w:p>
        </w:tc>
      </w:tr>
      <w:tr w:rsidR="003126CE" w:rsidRPr="0049163C" w:rsidTr="00C2067E">
        <w:trPr>
          <w:trHeight w:val="284"/>
          <w:jc w:val="center"/>
        </w:trPr>
        <w:tc>
          <w:tcPr>
            <w:tcW w:w="1047" w:type="pct"/>
            <w:vAlign w:val="center"/>
          </w:tcPr>
          <w:p w:rsidR="003126CE" w:rsidRPr="0049163C" w:rsidRDefault="003126CE" w:rsidP="00C2067E">
            <w:pPr>
              <w:spacing w:line="360" w:lineRule="auto"/>
              <w:jc w:val="center"/>
              <w:rPr>
                <w:rFonts w:ascii="Century" w:hAnsi="Century"/>
                <w:b/>
                <w:sz w:val="20"/>
                <w:szCs w:val="20"/>
              </w:rPr>
            </w:pPr>
            <w:r w:rsidRPr="0049163C">
              <w:rPr>
                <w:rFonts w:ascii="Century" w:hAnsi="Century"/>
                <w:b/>
                <w:sz w:val="20"/>
                <w:szCs w:val="20"/>
              </w:rPr>
              <w:t>España</w:t>
            </w:r>
          </w:p>
        </w:tc>
        <w:tc>
          <w:tcPr>
            <w:tcW w:w="969" w:type="pct"/>
            <w:vAlign w:val="center"/>
          </w:tcPr>
          <w:p w:rsidR="003126CE" w:rsidRPr="0049163C" w:rsidRDefault="003126CE" w:rsidP="00C2067E">
            <w:pPr>
              <w:spacing w:line="360" w:lineRule="auto"/>
              <w:jc w:val="center"/>
              <w:rPr>
                <w:rFonts w:ascii="Century" w:hAnsi="Century"/>
                <w:b/>
                <w:sz w:val="20"/>
                <w:szCs w:val="20"/>
              </w:rPr>
            </w:pPr>
            <w:r w:rsidRPr="0049163C">
              <w:rPr>
                <w:rFonts w:ascii="Century" w:hAnsi="Century"/>
                <w:b/>
                <w:sz w:val="20"/>
                <w:szCs w:val="20"/>
              </w:rPr>
              <w:t>SÍ</w:t>
            </w:r>
          </w:p>
        </w:tc>
        <w:tc>
          <w:tcPr>
            <w:tcW w:w="1454" w:type="pct"/>
            <w:vAlign w:val="center"/>
          </w:tcPr>
          <w:p w:rsidR="003126CE" w:rsidRPr="0049163C" w:rsidRDefault="003126CE" w:rsidP="00C2067E">
            <w:pPr>
              <w:spacing w:line="360" w:lineRule="auto"/>
              <w:jc w:val="center"/>
              <w:rPr>
                <w:rFonts w:ascii="Century" w:hAnsi="Century"/>
                <w:b/>
                <w:sz w:val="20"/>
                <w:szCs w:val="20"/>
              </w:rPr>
            </w:pPr>
            <w:r w:rsidRPr="0049163C">
              <w:rPr>
                <w:rFonts w:ascii="Century" w:hAnsi="Century"/>
                <w:b/>
                <w:sz w:val="20"/>
                <w:szCs w:val="20"/>
              </w:rPr>
              <w:t>34%</w:t>
            </w:r>
          </w:p>
        </w:tc>
        <w:tc>
          <w:tcPr>
            <w:tcW w:w="1530" w:type="pct"/>
            <w:vAlign w:val="center"/>
          </w:tcPr>
          <w:p w:rsidR="003126CE" w:rsidRPr="0049163C" w:rsidRDefault="003126CE" w:rsidP="00C2067E">
            <w:pPr>
              <w:spacing w:line="360" w:lineRule="auto"/>
              <w:jc w:val="center"/>
              <w:rPr>
                <w:rFonts w:ascii="Century" w:hAnsi="Century"/>
                <w:b/>
                <w:sz w:val="20"/>
                <w:szCs w:val="20"/>
              </w:rPr>
            </w:pPr>
            <w:r w:rsidRPr="0049163C">
              <w:rPr>
                <w:rFonts w:ascii="Century" w:hAnsi="Century"/>
                <w:b/>
                <w:sz w:val="20"/>
                <w:szCs w:val="20"/>
              </w:rPr>
              <w:t>Principio de residencia</w:t>
            </w:r>
          </w:p>
        </w:tc>
      </w:tr>
      <w:tr w:rsidR="003126CE" w:rsidRPr="0049163C" w:rsidTr="00C2067E">
        <w:trPr>
          <w:trHeight w:val="284"/>
          <w:jc w:val="center"/>
        </w:trPr>
        <w:tc>
          <w:tcPr>
            <w:tcW w:w="1047" w:type="pct"/>
            <w:vAlign w:val="center"/>
          </w:tcPr>
          <w:p w:rsidR="003126CE" w:rsidRPr="0049163C" w:rsidRDefault="003126CE" w:rsidP="0049163C">
            <w:pPr>
              <w:spacing w:line="360" w:lineRule="auto"/>
              <w:jc w:val="center"/>
              <w:rPr>
                <w:rFonts w:ascii="Century" w:hAnsi="Century"/>
                <w:sz w:val="20"/>
                <w:szCs w:val="20"/>
              </w:rPr>
            </w:pPr>
            <w:r w:rsidRPr="0049163C">
              <w:rPr>
                <w:rFonts w:ascii="Century" w:hAnsi="Century"/>
                <w:sz w:val="20"/>
                <w:szCs w:val="20"/>
              </w:rPr>
              <w:t>Estonia</w:t>
            </w:r>
          </w:p>
        </w:tc>
        <w:tc>
          <w:tcPr>
            <w:tcW w:w="969" w:type="pct"/>
            <w:vAlign w:val="center"/>
          </w:tcPr>
          <w:p w:rsidR="003126CE" w:rsidRPr="0049163C" w:rsidRDefault="003126CE" w:rsidP="0049163C">
            <w:pPr>
              <w:spacing w:line="360" w:lineRule="auto"/>
              <w:jc w:val="center"/>
              <w:rPr>
                <w:rFonts w:ascii="Century" w:hAnsi="Century"/>
                <w:sz w:val="20"/>
                <w:szCs w:val="20"/>
              </w:rPr>
            </w:pPr>
            <w:r w:rsidRPr="0049163C">
              <w:rPr>
                <w:rFonts w:ascii="Century" w:hAnsi="Century"/>
                <w:sz w:val="20"/>
                <w:szCs w:val="20"/>
              </w:rPr>
              <w:t>NO</w:t>
            </w:r>
          </w:p>
        </w:tc>
        <w:tc>
          <w:tcPr>
            <w:tcW w:w="1454" w:type="pct"/>
            <w:vAlign w:val="center"/>
          </w:tcPr>
          <w:p w:rsidR="003126CE" w:rsidRPr="0049163C" w:rsidRDefault="003126CE" w:rsidP="0049163C">
            <w:pPr>
              <w:spacing w:line="360" w:lineRule="auto"/>
              <w:jc w:val="center"/>
              <w:rPr>
                <w:rFonts w:ascii="Century" w:hAnsi="Century"/>
                <w:sz w:val="20"/>
                <w:szCs w:val="20"/>
              </w:rPr>
            </w:pPr>
            <w:r w:rsidRPr="0049163C">
              <w:rPr>
                <w:rFonts w:ascii="Century" w:hAnsi="Century"/>
                <w:sz w:val="20"/>
                <w:szCs w:val="20"/>
              </w:rPr>
              <w:t>-</w:t>
            </w:r>
          </w:p>
        </w:tc>
        <w:tc>
          <w:tcPr>
            <w:tcW w:w="1530" w:type="pct"/>
            <w:vAlign w:val="center"/>
          </w:tcPr>
          <w:p w:rsidR="003126CE" w:rsidRPr="0049163C" w:rsidRDefault="003126CE" w:rsidP="0049163C">
            <w:pPr>
              <w:spacing w:line="360" w:lineRule="auto"/>
              <w:jc w:val="center"/>
              <w:rPr>
                <w:rFonts w:ascii="Century" w:hAnsi="Century"/>
                <w:sz w:val="20"/>
                <w:szCs w:val="20"/>
              </w:rPr>
            </w:pPr>
            <w:r w:rsidRPr="0049163C">
              <w:rPr>
                <w:rFonts w:ascii="Century" w:hAnsi="Century"/>
                <w:sz w:val="20"/>
                <w:szCs w:val="20"/>
              </w:rPr>
              <w:t>-</w:t>
            </w:r>
          </w:p>
        </w:tc>
      </w:tr>
      <w:tr w:rsidR="003126CE" w:rsidRPr="0049163C" w:rsidTr="00C2067E">
        <w:trPr>
          <w:trHeight w:val="284"/>
          <w:jc w:val="center"/>
        </w:trPr>
        <w:tc>
          <w:tcPr>
            <w:tcW w:w="1047" w:type="pct"/>
            <w:vAlign w:val="center"/>
          </w:tcPr>
          <w:p w:rsidR="003126CE" w:rsidRPr="0049163C" w:rsidRDefault="003126CE" w:rsidP="0049163C">
            <w:pPr>
              <w:spacing w:line="360" w:lineRule="auto"/>
              <w:jc w:val="center"/>
              <w:rPr>
                <w:rFonts w:ascii="Century" w:hAnsi="Century"/>
                <w:sz w:val="20"/>
                <w:szCs w:val="20"/>
              </w:rPr>
            </w:pPr>
            <w:r w:rsidRPr="0049163C">
              <w:rPr>
                <w:rFonts w:ascii="Century" w:hAnsi="Century"/>
                <w:sz w:val="20"/>
                <w:szCs w:val="20"/>
              </w:rPr>
              <w:t>Finlandia</w:t>
            </w:r>
          </w:p>
        </w:tc>
        <w:tc>
          <w:tcPr>
            <w:tcW w:w="969" w:type="pct"/>
            <w:vAlign w:val="center"/>
          </w:tcPr>
          <w:p w:rsidR="003126CE" w:rsidRPr="0049163C" w:rsidRDefault="003126CE" w:rsidP="0049163C">
            <w:pPr>
              <w:spacing w:line="360" w:lineRule="auto"/>
              <w:jc w:val="center"/>
              <w:rPr>
                <w:rFonts w:ascii="Century" w:hAnsi="Century"/>
                <w:sz w:val="20"/>
                <w:szCs w:val="20"/>
              </w:rPr>
            </w:pPr>
            <w:r w:rsidRPr="0049163C">
              <w:rPr>
                <w:rFonts w:ascii="Century" w:hAnsi="Century"/>
                <w:sz w:val="20"/>
                <w:szCs w:val="20"/>
              </w:rPr>
              <w:t>SÍ</w:t>
            </w:r>
          </w:p>
        </w:tc>
        <w:tc>
          <w:tcPr>
            <w:tcW w:w="1454" w:type="pct"/>
            <w:vAlign w:val="center"/>
          </w:tcPr>
          <w:p w:rsidR="003126CE" w:rsidRPr="0049163C" w:rsidRDefault="003126CE" w:rsidP="0049163C">
            <w:pPr>
              <w:spacing w:line="360" w:lineRule="auto"/>
              <w:jc w:val="center"/>
              <w:rPr>
                <w:rFonts w:ascii="Century" w:hAnsi="Century"/>
                <w:sz w:val="20"/>
                <w:szCs w:val="20"/>
              </w:rPr>
            </w:pPr>
            <w:r w:rsidRPr="0049163C">
              <w:rPr>
                <w:rFonts w:ascii="Century" w:hAnsi="Century"/>
                <w:sz w:val="20"/>
                <w:szCs w:val="20"/>
              </w:rPr>
              <w:t>20%</w:t>
            </w:r>
          </w:p>
        </w:tc>
        <w:tc>
          <w:tcPr>
            <w:tcW w:w="1530" w:type="pct"/>
            <w:vAlign w:val="center"/>
          </w:tcPr>
          <w:p w:rsidR="003126CE" w:rsidRPr="0049163C" w:rsidRDefault="003126CE" w:rsidP="0049163C">
            <w:pPr>
              <w:spacing w:line="360" w:lineRule="auto"/>
              <w:jc w:val="center"/>
              <w:rPr>
                <w:rFonts w:ascii="Century" w:hAnsi="Century"/>
                <w:sz w:val="20"/>
                <w:szCs w:val="20"/>
              </w:rPr>
            </w:pPr>
            <w:r w:rsidRPr="0049163C">
              <w:rPr>
                <w:rFonts w:ascii="Century" w:hAnsi="Century"/>
                <w:sz w:val="20"/>
                <w:szCs w:val="20"/>
              </w:rPr>
              <w:t>Principio de residencia</w:t>
            </w:r>
          </w:p>
        </w:tc>
      </w:tr>
      <w:tr w:rsidR="003126CE" w:rsidRPr="0049163C" w:rsidTr="00C2067E">
        <w:trPr>
          <w:trHeight w:val="284"/>
          <w:jc w:val="center"/>
        </w:trPr>
        <w:tc>
          <w:tcPr>
            <w:tcW w:w="1047" w:type="pct"/>
            <w:vAlign w:val="center"/>
          </w:tcPr>
          <w:p w:rsidR="003126CE" w:rsidRPr="0049163C" w:rsidRDefault="003126CE" w:rsidP="0049163C">
            <w:pPr>
              <w:spacing w:line="360" w:lineRule="auto"/>
              <w:jc w:val="center"/>
              <w:rPr>
                <w:rFonts w:ascii="Century" w:hAnsi="Century"/>
                <w:sz w:val="20"/>
                <w:szCs w:val="20"/>
              </w:rPr>
            </w:pPr>
            <w:r w:rsidRPr="0049163C">
              <w:rPr>
                <w:rFonts w:ascii="Century" w:hAnsi="Century"/>
                <w:sz w:val="20"/>
                <w:szCs w:val="20"/>
              </w:rPr>
              <w:t>Francia</w:t>
            </w:r>
          </w:p>
        </w:tc>
        <w:tc>
          <w:tcPr>
            <w:tcW w:w="969" w:type="pct"/>
            <w:vAlign w:val="center"/>
          </w:tcPr>
          <w:p w:rsidR="003126CE" w:rsidRPr="0049163C" w:rsidRDefault="003126CE" w:rsidP="0049163C">
            <w:pPr>
              <w:spacing w:line="360" w:lineRule="auto"/>
              <w:jc w:val="center"/>
              <w:rPr>
                <w:rFonts w:ascii="Century" w:hAnsi="Century"/>
                <w:sz w:val="20"/>
                <w:szCs w:val="20"/>
              </w:rPr>
            </w:pPr>
            <w:r w:rsidRPr="0049163C">
              <w:rPr>
                <w:rFonts w:ascii="Century" w:hAnsi="Century"/>
                <w:sz w:val="20"/>
                <w:szCs w:val="20"/>
              </w:rPr>
              <w:t>SÍ</w:t>
            </w:r>
          </w:p>
        </w:tc>
        <w:tc>
          <w:tcPr>
            <w:tcW w:w="1454" w:type="pct"/>
            <w:vAlign w:val="center"/>
          </w:tcPr>
          <w:p w:rsidR="003126CE" w:rsidRPr="0049163C" w:rsidRDefault="003126CE" w:rsidP="0049163C">
            <w:pPr>
              <w:spacing w:line="360" w:lineRule="auto"/>
              <w:jc w:val="center"/>
              <w:rPr>
                <w:rFonts w:ascii="Century" w:hAnsi="Century"/>
                <w:sz w:val="20"/>
                <w:szCs w:val="20"/>
              </w:rPr>
            </w:pPr>
            <w:r w:rsidRPr="0049163C">
              <w:rPr>
                <w:rFonts w:ascii="Century" w:hAnsi="Century"/>
                <w:sz w:val="20"/>
                <w:szCs w:val="20"/>
              </w:rPr>
              <w:t>45%</w:t>
            </w:r>
          </w:p>
        </w:tc>
        <w:tc>
          <w:tcPr>
            <w:tcW w:w="1530" w:type="pct"/>
            <w:vAlign w:val="center"/>
          </w:tcPr>
          <w:p w:rsidR="003126CE" w:rsidRPr="0049163C" w:rsidRDefault="003126CE" w:rsidP="0049163C">
            <w:pPr>
              <w:spacing w:line="360" w:lineRule="auto"/>
              <w:jc w:val="center"/>
              <w:rPr>
                <w:rFonts w:ascii="Century" w:hAnsi="Century"/>
                <w:sz w:val="20"/>
                <w:szCs w:val="20"/>
              </w:rPr>
            </w:pPr>
            <w:r w:rsidRPr="0049163C">
              <w:rPr>
                <w:rFonts w:ascii="Century" w:hAnsi="Century"/>
                <w:sz w:val="20"/>
                <w:szCs w:val="20"/>
              </w:rPr>
              <w:t>Principio de domicilio</w:t>
            </w:r>
          </w:p>
        </w:tc>
      </w:tr>
      <w:tr w:rsidR="003126CE" w:rsidRPr="0049163C" w:rsidTr="00C2067E">
        <w:trPr>
          <w:trHeight w:val="284"/>
          <w:jc w:val="center"/>
        </w:trPr>
        <w:tc>
          <w:tcPr>
            <w:tcW w:w="1047" w:type="pct"/>
            <w:vAlign w:val="center"/>
          </w:tcPr>
          <w:p w:rsidR="003126CE" w:rsidRPr="0049163C" w:rsidRDefault="003126CE" w:rsidP="0049163C">
            <w:pPr>
              <w:spacing w:line="360" w:lineRule="auto"/>
              <w:jc w:val="center"/>
              <w:rPr>
                <w:rFonts w:ascii="Century" w:hAnsi="Century"/>
                <w:sz w:val="20"/>
                <w:szCs w:val="20"/>
              </w:rPr>
            </w:pPr>
            <w:r w:rsidRPr="0049163C">
              <w:rPr>
                <w:rFonts w:ascii="Century" w:hAnsi="Century"/>
                <w:sz w:val="20"/>
                <w:szCs w:val="20"/>
              </w:rPr>
              <w:t>Grecia</w:t>
            </w:r>
          </w:p>
        </w:tc>
        <w:tc>
          <w:tcPr>
            <w:tcW w:w="969" w:type="pct"/>
            <w:vAlign w:val="center"/>
          </w:tcPr>
          <w:p w:rsidR="003126CE" w:rsidRPr="0049163C" w:rsidRDefault="003126CE" w:rsidP="0049163C">
            <w:pPr>
              <w:spacing w:line="360" w:lineRule="auto"/>
              <w:jc w:val="center"/>
              <w:rPr>
                <w:rFonts w:ascii="Century" w:hAnsi="Century"/>
                <w:sz w:val="20"/>
                <w:szCs w:val="20"/>
              </w:rPr>
            </w:pPr>
            <w:r w:rsidRPr="0049163C">
              <w:rPr>
                <w:rFonts w:ascii="Century" w:hAnsi="Century"/>
                <w:sz w:val="20"/>
                <w:szCs w:val="20"/>
              </w:rPr>
              <w:t>SÍ</w:t>
            </w:r>
          </w:p>
        </w:tc>
        <w:tc>
          <w:tcPr>
            <w:tcW w:w="1454" w:type="pct"/>
            <w:vAlign w:val="center"/>
          </w:tcPr>
          <w:p w:rsidR="003126CE" w:rsidRPr="0049163C" w:rsidRDefault="003126CE" w:rsidP="0049163C">
            <w:pPr>
              <w:spacing w:line="360" w:lineRule="auto"/>
              <w:jc w:val="center"/>
              <w:rPr>
                <w:rFonts w:ascii="Century" w:hAnsi="Century"/>
                <w:sz w:val="20"/>
                <w:szCs w:val="20"/>
              </w:rPr>
            </w:pPr>
            <w:r w:rsidRPr="0049163C">
              <w:rPr>
                <w:rFonts w:ascii="Century" w:hAnsi="Century"/>
                <w:sz w:val="20"/>
                <w:szCs w:val="20"/>
              </w:rPr>
              <w:t>10%</w:t>
            </w:r>
          </w:p>
        </w:tc>
        <w:tc>
          <w:tcPr>
            <w:tcW w:w="1530" w:type="pct"/>
            <w:vAlign w:val="center"/>
          </w:tcPr>
          <w:p w:rsidR="003126CE" w:rsidRPr="0049163C" w:rsidRDefault="003126CE" w:rsidP="0049163C">
            <w:pPr>
              <w:spacing w:line="360" w:lineRule="auto"/>
              <w:jc w:val="center"/>
              <w:rPr>
                <w:rFonts w:ascii="Century" w:hAnsi="Century"/>
                <w:sz w:val="20"/>
                <w:szCs w:val="20"/>
              </w:rPr>
            </w:pPr>
            <w:r w:rsidRPr="0049163C">
              <w:rPr>
                <w:rFonts w:ascii="Century" w:hAnsi="Century"/>
                <w:sz w:val="20"/>
                <w:szCs w:val="20"/>
              </w:rPr>
              <w:t>Principio de domicilio/ Principio de nacionalidad</w:t>
            </w:r>
          </w:p>
        </w:tc>
      </w:tr>
      <w:tr w:rsidR="003126CE" w:rsidRPr="0049163C" w:rsidTr="00C2067E">
        <w:trPr>
          <w:trHeight w:val="284"/>
          <w:jc w:val="center"/>
        </w:trPr>
        <w:tc>
          <w:tcPr>
            <w:tcW w:w="1047" w:type="pct"/>
            <w:vAlign w:val="center"/>
          </w:tcPr>
          <w:p w:rsidR="003126CE" w:rsidRPr="0049163C" w:rsidRDefault="003126CE" w:rsidP="0049163C">
            <w:pPr>
              <w:spacing w:line="360" w:lineRule="auto"/>
              <w:jc w:val="center"/>
              <w:rPr>
                <w:rFonts w:ascii="Century" w:hAnsi="Century"/>
                <w:sz w:val="20"/>
                <w:szCs w:val="20"/>
              </w:rPr>
            </w:pPr>
            <w:r w:rsidRPr="0049163C">
              <w:rPr>
                <w:rFonts w:ascii="Century" w:hAnsi="Century"/>
                <w:sz w:val="20"/>
                <w:szCs w:val="20"/>
              </w:rPr>
              <w:t>Hungría</w:t>
            </w:r>
          </w:p>
        </w:tc>
        <w:tc>
          <w:tcPr>
            <w:tcW w:w="969" w:type="pct"/>
            <w:vAlign w:val="center"/>
          </w:tcPr>
          <w:p w:rsidR="003126CE" w:rsidRPr="0049163C" w:rsidRDefault="003126CE" w:rsidP="0049163C">
            <w:pPr>
              <w:spacing w:line="360" w:lineRule="auto"/>
              <w:jc w:val="center"/>
              <w:rPr>
                <w:rFonts w:ascii="Century" w:hAnsi="Century"/>
                <w:sz w:val="20"/>
                <w:szCs w:val="20"/>
              </w:rPr>
            </w:pPr>
            <w:r w:rsidRPr="0049163C">
              <w:rPr>
                <w:rFonts w:ascii="Century" w:hAnsi="Century"/>
                <w:sz w:val="20"/>
                <w:szCs w:val="20"/>
              </w:rPr>
              <w:t>SÍ</w:t>
            </w:r>
          </w:p>
        </w:tc>
        <w:tc>
          <w:tcPr>
            <w:tcW w:w="1454" w:type="pct"/>
            <w:vAlign w:val="center"/>
          </w:tcPr>
          <w:p w:rsidR="003126CE" w:rsidRPr="0049163C" w:rsidRDefault="003126CE" w:rsidP="0049163C">
            <w:pPr>
              <w:spacing w:line="360" w:lineRule="auto"/>
              <w:jc w:val="center"/>
              <w:rPr>
                <w:rFonts w:ascii="Century" w:hAnsi="Century"/>
                <w:sz w:val="20"/>
                <w:szCs w:val="20"/>
              </w:rPr>
            </w:pPr>
            <w:r w:rsidRPr="0049163C">
              <w:rPr>
                <w:rFonts w:ascii="Century" w:hAnsi="Century"/>
                <w:sz w:val="20"/>
                <w:szCs w:val="20"/>
              </w:rPr>
              <w:t>21%</w:t>
            </w:r>
          </w:p>
        </w:tc>
        <w:tc>
          <w:tcPr>
            <w:tcW w:w="1530" w:type="pct"/>
            <w:vAlign w:val="center"/>
          </w:tcPr>
          <w:p w:rsidR="003126CE" w:rsidRPr="0049163C" w:rsidRDefault="003126CE" w:rsidP="0049163C">
            <w:pPr>
              <w:spacing w:line="360" w:lineRule="auto"/>
              <w:jc w:val="center"/>
              <w:rPr>
                <w:rFonts w:ascii="Century" w:hAnsi="Century"/>
                <w:sz w:val="20"/>
                <w:szCs w:val="20"/>
              </w:rPr>
            </w:pPr>
            <w:r w:rsidRPr="0049163C">
              <w:rPr>
                <w:rFonts w:ascii="Century" w:hAnsi="Century"/>
                <w:sz w:val="20"/>
                <w:szCs w:val="20"/>
              </w:rPr>
              <w:t>Principio de residencia/ Principio de nacionalidad</w:t>
            </w:r>
          </w:p>
        </w:tc>
      </w:tr>
      <w:tr w:rsidR="003126CE" w:rsidRPr="0049163C" w:rsidTr="00C2067E">
        <w:trPr>
          <w:trHeight w:val="284"/>
          <w:jc w:val="center"/>
        </w:trPr>
        <w:tc>
          <w:tcPr>
            <w:tcW w:w="1047" w:type="pct"/>
            <w:vAlign w:val="center"/>
          </w:tcPr>
          <w:p w:rsidR="003126CE" w:rsidRPr="0049163C" w:rsidRDefault="003126CE" w:rsidP="0049163C">
            <w:pPr>
              <w:spacing w:line="360" w:lineRule="auto"/>
              <w:jc w:val="center"/>
              <w:rPr>
                <w:rFonts w:ascii="Century" w:hAnsi="Century"/>
                <w:sz w:val="20"/>
                <w:szCs w:val="20"/>
              </w:rPr>
            </w:pPr>
            <w:r w:rsidRPr="0049163C">
              <w:rPr>
                <w:rFonts w:ascii="Century" w:hAnsi="Century"/>
                <w:sz w:val="20"/>
                <w:szCs w:val="20"/>
              </w:rPr>
              <w:t>Irlanda</w:t>
            </w:r>
          </w:p>
        </w:tc>
        <w:tc>
          <w:tcPr>
            <w:tcW w:w="969" w:type="pct"/>
            <w:vAlign w:val="center"/>
          </w:tcPr>
          <w:p w:rsidR="003126CE" w:rsidRPr="0049163C" w:rsidRDefault="003126CE" w:rsidP="0049163C">
            <w:pPr>
              <w:spacing w:line="360" w:lineRule="auto"/>
              <w:jc w:val="center"/>
              <w:rPr>
                <w:rFonts w:ascii="Century" w:hAnsi="Century"/>
                <w:sz w:val="20"/>
                <w:szCs w:val="20"/>
              </w:rPr>
            </w:pPr>
            <w:r w:rsidRPr="0049163C">
              <w:rPr>
                <w:rFonts w:ascii="Century" w:hAnsi="Century"/>
                <w:sz w:val="20"/>
                <w:szCs w:val="20"/>
              </w:rPr>
              <w:t>SÍ</w:t>
            </w:r>
          </w:p>
        </w:tc>
        <w:tc>
          <w:tcPr>
            <w:tcW w:w="1454" w:type="pct"/>
            <w:vAlign w:val="center"/>
          </w:tcPr>
          <w:p w:rsidR="003126CE" w:rsidRPr="0049163C" w:rsidRDefault="003126CE" w:rsidP="0049163C">
            <w:pPr>
              <w:spacing w:line="360" w:lineRule="auto"/>
              <w:jc w:val="center"/>
              <w:rPr>
                <w:rFonts w:ascii="Century" w:hAnsi="Century"/>
                <w:sz w:val="20"/>
                <w:szCs w:val="20"/>
              </w:rPr>
            </w:pPr>
            <w:r w:rsidRPr="0049163C">
              <w:rPr>
                <w:rFonts w:ascii="Century" w:hAnsi="Century"/>
                <w:sz w:val="20"/>
                <w:szCs w:val="20"/>
              </w:rPr>
              <w:t>33% (Fijo)</w:t>
            </w:r>
          </w:p>
        </w:tc>
        <w:tc>
          <w:tcPr>
            <w:tcW w:w="1530" w:type="pct"/>
            <w:vAlign w:val="center"/>
          </w:tcPr>
          <w:p w:rsidR="003126CE" w:rsidRPr="0049163C" w:rsidRDefault="003126CE" w:rsidP="0049163C">
            <w:pPr>
              <w:spacing w:line="360" w:lineRule="auto"/>
              <w:jc w:val="center"/>
              <w:rPr>
                <w:rFonts w:ascii="Century" w:hAnsi="Century"/>
                <w:sz w:val="20"/>
                <w:szCs w:val="20"/>
              </w:rPr>
            </w:pPr>
            <w:r w:rsidRPr="0049163C">
              <w:rPr>
                <w:rFonts w:ascii="Century" w:hAnsi="Century"/>
                <w:sz w:val="20"/>
                <w:szCs w:val="20"/>
              </w:rPr>
              <w:t>Principio de residencia</w:t>
            </w:r>
          </w:p>
        </w:tc>
      </w:tr>
      <w:tr w:rsidR="003126CE" w:rsidRPr="0049163C" w:rsidTr="00C2067E">
        <w:trPr>
          <w:trHeight w:val="284"/>
          <w:jc w:val="center"/>
        </w:trPr>
        <w:tc>
          <w:tcPr>
            <w:tcW w:w="1047" w:type="pct"/>
            <w:vAlign w:val="center"/>
          </w:tcPr>
          <w:p w:rsidR="003126CE" w:rsidRPr="0049163C" w:rsidRDefault="003126CE" w:rsidP="0049163C">
            <w:pPr>
              <w:spacing w:line="360" w:lineRule="auto"/>
              <w:jc w:val="center"/>
              <w:rPr>
                <w:rFonts w:ascii="Century" w:hAnsi="Century"/>
                <w:sz w:val="20"/>
                <w:szCs w:val="20"/>
              </w:rPr>
            </w:pPr>
            <w:r w:rsidRPr="0049163C">
              <w:rPr>
                <w:rFonts w:ascii="Century" w:hAnsi="Century"/>
                <w:sz w:val="20"/>
                <w:szCs w:val="20"/>
              </w:rPr>
              <w:t>Italia</w:t>
            </w:r>
          </w:p>
        </w:tc>
        <w:tc>
          <w:tcPr>
            <w:tcW w:w="969" w:type="pct"/>
            <w:vAlign w:val="center"/>
          </w:tcPr>
          <w:p w:rsidR="003126CE" w:rsidRPr="0049163C" w:rsidRDefault="003126CE" w:rsidP="0049163C">
            <w:pPr>
              <w:spacing w:line="360" w:lineRule="auto"/>
              <w:jc w:val="center"/>
              <w:rPr>
                <w:rFonts w:ascii="Century" w:hAnsi="Century"/>
                <w:sz w:val="20"/>
                <w:szCs w:val="20"/>
              </w:rPr>
            </w:pPr>
            <w:r w:rsidRPr="0049163C">
              <w:rPr>
                <w:rFonts w:ascii="Century" w:hAnsi="Century"/>
                <w:sz w:val="20"/>
                <w:szCs w:val="20"/>
              </w:rPr>
              <w:t>SÍ</w:t>
            </w:r>
          </w:p>
        </w:tc>
        <w:tc>
          <w:tcPr>
            <w:tcW w:w="1454" w:type="pct"/>
            <w:vAlign w:val="center"/>
          </w:tcPr>
          <w:p w:rsidR="003126CE" w:rsidRPr="0049163C" w:rsidRDefault="003126CE" w:rsidP="0049163C">
            <w:pPr>
              <w:spacing w:line="360" w:lineRule="auto"/>
              <w:jc w:val="center"/>
              <w:rPr>
                <w:rFonts w:ascii="Century" w:hAnsi="Century"/>
                <w:sz w:val="20"/>
                <w:szCs w:val="20"/>
              </w:rPr>
            </w:pPr>
            <w:r w:rsidRPr="0049163C">
              <w:rPr>
                <w:rFonts w:ascii="Century" w:hAnsi="Century"/>
                <w:sz w:val="20"/>
                <w:szCs w:val="20"/>
              </w:rPr>
              <w:t>4% (Fijo)</w:t>
            </w:r>
          </w:p>
        </w:tc>
        <w:tc>
          <w:tcPr>
            <w:tcW w:w="1530" w:type="pct"/>
            <w:vAlign w:val="center"/>
          </w:tcPr>
          <w:p w:rsidR="003126CE" w:rsidRPr="0049163C" w:rsidRDefault="003126CE" w:rsidP="0049163C">
            <w:pPr>
              <w:spacing w:line="360" w:lineRule="auto"/>
              <w:jc w:val="center"/>
              <w:rPr>
                <w:rFonts w:ascii="Century" w:hAnsi="Century"/>
                <w:sz w:val="20"/>
                <w:szCs w:val="20"/>
              </w:rPr>
            </w:pPr>
            <w:r w:rsidRPr="0049163C">
              <w:rPr>
                <w:rFonts w:ascii="Century" w:hAnsi="Century"/>
                <w:sz w:val="20"/>
                <w:szCs w:val="20"/>
              </w:rPr>
              <w:t>Principio de residencia</w:t>
            </w:r>
          </w:p>
        </w:tc>
      </w:tr>
      <w:tr w:rsidR="003126CE" w:rsidRPr="0049163C" w:rsidTr="00C2067E">
        <w:trPr>
          <w:trHeight w:val="284"/>
          <w:jc w:val="center"/>
        </w:trPr>
        <w:tc>
          <w:tcPr>
            <w:tcW w:w="1047" w:type="pct"/>
            <w:vAlign w:val="center"/>
          </w:tcPr>
          <w:p w:rsidR="003126CE" w:rsidRPr="0049163C" w:rsidRDefault="003126CE" w:rsidP="0049163C">
            <w:pPr>
              <w:spacing w:line="360" w:lineRule="auto"/>
              <w:jc w:val="center"/>
              <w:rPr>
                <w:rFonts w:ascii="Century" w:hAnsi="Century"/>
                <w:sz w:val="20"/>
                <w:szCs w:val="20"/>
              </w:rPr>
            </w:pPr>
            <w:r w:rsidRPr="0049163C">
              <w:rPr>
                <w:rFonts w:ascii="Century" w:hAnsi="Century"/>
                <w:sz w:val="20"/>
                <w:szCs w:val="20"/>
              </w:rPr>
              <w:t>Letonia</w:t>
            </w:r>
          </w:p>
        </w:tc>
        <w:tc>
          <w:tcPr>
            <w:tcW w:w="969" w:type="pct"/>
            <w:vAlign w:val="center"/>
          </w:tcPr>
          <w:p w:rsidR="003126CE" w:rsidRPr="0049163C" w:rsidRDefault="003126CE" w:rsidP="0049163C">
            <w:pPr>
              <w:spacing w:line="360" w:lineRule="auto"/>
              <w:jc w:val="center"/>
              <w:rPr>
                <w:rFonts w:ascii="Century" w:hAnsi="Century"/>
                <w:sz w:val="20"/>
                <w:szCs w:val="20"/>
              </w:rPr>
            </w:pPr>
            <w:r w:rsidRPr="0049163C">
              <w:rPr>
                <w:rFonts w:ascii="Century" w:hAnsi="Century"/>
                <w:sz w:val="20"/>
                <w:szCs w:val="20"/>
              </w:rPr>
              <w:t>NO</w:t>
            </w:r>
          </w:p>
        </w:tc>
        <w:tc>
          <w:tcPr>
            <w:tcW w:w="1454" w:type="pct"/>
            <w:vAlign w:val="center"/>
          </w:tcPr>
          <w:p w:rsidR="003126CE" w:rsidRPr="0049163C" w:rsidRDefault="003126CE" w:rsidP="0049163C">
            <w:pPr>
              <w:spacing w:line="360" w:lineRule="auto"/>
              <w:jc w:val="center"/>
              <w:rPr>
                <w:rFonts w:ascii="Century" w:hAnsi="Century"/>
                <w:sz w:val="20"/>
                <w:szCs w:val="20"/>
              </w:rPr>
            </w:pPr>
            <w:r w:rsidRPr="0049163C">
              <w:rPr>
                <w:rFonts w:ascii="Century" w:hAnsi="Century"/>
                <w:sz w:val="20"/>
                <w:szCs w:val="20"/>
              </w:rPr>
              <w:t>-</w:t>
            </w:r>
          </w:p>
        </w:tc>
        <w:tc>
          <w:tcPr>
            <w:tcW w:w="1530" w:type="pct"/>
            <w:vAlign w:val="center"/>
          </w:tcPr>
          <w:p w:rsidR="003126CE" w:rsidRPr="0049163C" w:rsidRDefault="003126CE" w:rsidP="0049163C">
            <w:pPr>
              <w:spacing w:line="360" w:lineRule="auto"/>
              <w:jc w:val="center"/>
              <w:rPr>
                <w:rFonts w:ascii="Century" w:hAnsi="Century"/>
                <w:sz w:val="20"/>
                <w:szCs w:val="20"/>
              </w:rPr>
            </w:pPr>
            <w:r w:rsidRPr="0049163C">
              <w:rPr>
                <w:rFonts w:ascii="Century" w:hAnsi="Century"/>
                <w:sz w:val="20"/>
                <w:szCs w:val="20"/>
              </w:rPr>
              <w:t>-</w:t>
            </w:r>
          </w:p>
        </w:tc>
      </w:tr>
      <w:tr w:rsidR="003126CE" w:rsidRPr="0049163C" w:rsidTr="00C2067E">
        <w:trPr>
          <w:trHeight w:val="284"/>
          <w:jc w:val="center"/>
        </w:trPr>
        <w:tc>
          <w:tcPr>
            <w:tcW w:w="1047" w:type="pct"/>
            <w:vAlign w:val="center"/>
          </w:tcPr>
          <w:p w:rsidR="003126CE" w:rsidRPr="0049163C" w:rsidRDefault="003126CE" w:rsidP="0049163C">
            <w:pPr>
              <w:spacing w:line="360" w:lineRule="auto"/>
              <w:jc w:val="center"/>
              <w:rPr>
                <w:rFonts w:ascii="Century" w:hAnsi="Century"/>
                <w:sz w:val="20"/>
                <w:szCs w:val="20"/>
              </w:rPr>
            </w:pPr>
            <w:r w:rsidRPr="0049163C">
              <w:rPr>
                <w:rFonts w:ascii="Century" w:hAnsi="Century"/>
                <w:sz w:val="20"/>
                <w:szCs w:val="20"/>
              </w:rPr>
              <w:t>Lituania</w:t>
            </w:r>
          </w:p>
        </w:tc>
        <w:tc>
          <w:tcPr>
            <w:tcW w:w="969" w:type="pct"/>
            <w:vAlign w:val="center"/>
          </w:tcPr>
          <w:p w:rsidR="003126CE" w:rsidRPr="0049163C" w:rsidRDefault="003126CE" w:rsidP="0049163C">
            <w:pPr>
              <w:spacing w:line="360" w:lineRule="auto"/>
              <w:jc w:val="center"/>
              <w:rPr>
                <w:rFonts w:ascii="Century" w:hAnsi="Century"/>
                <w:sz w:val="20"/>
                <w:szCs w:val="20"/>
              </w:rPr>
            </w:pPr>
            <w:r w:rsidRPr="0049163C">
              <w:rPr>
                <w:rFonts w:ascii="Century" w:hAnsi="Century"/>
                <w:sz w:val="20"/>
                <w:szCs w:val="20"/>
              </w:rPr>
              <w:t>SÍ</w:t>
            </w:r>
          </w:p>
        </w:tc>
        <w:tc>
          <w:tcPr>
            <w:tcW w:w="1454" w:type="pct"/>
            <w:vAlign w:val="center"/>
          </w:tcPr>
          <w:p w:rsidR="003126CE" w:rsidRPr="0049163C" w:rsidRDefault="003126CE" w:rsidP="0049163C">
            <w:pPr>
              <w:spacing w:line="360" w:lineRule="auto"/>
              <w:jc w:val="center"/>
              <w:rPr>
                <w:rFonts w:ascii="Century" w:hAnsi="Century"/>
                <w:sz w:val="20"/>
                <w:szCs w:val="20"/>
              </w:rPr>
            </w:pPr>
            <w:r w:rsidRPr="0049163C">
              <w:rPr>
                <w:rFonts w:ascii="Century" w:hAnsi="Century"/>
                <w:sz w:val="20"/>
                <w:szCs w:val="20"/>
              </w:rPr>
              <w:t>0%</w:t>
            </w:r>
          </w:p>
        </w:tc>
        <w:tc>
          <w:tcPr>
            <w:tcW w:w="1530" w:type="pct"/>
            <w:vAlign w:val="center"/>
          </w:tcPr>
          <w:p w:rsidR="003126CE" w:rsidRPr="0049163C" w:rsidRDefault="003126CE" w:rsidP="0049163C">
            <w:pPr>
              <w:spacing w:line="360" w:lineRule="auto"/>
              <w:jc w:val="center"/>
              <w:rPr>
                <w:rFonts w:ascii="Century" w:hAnsi="Century"/>
                <w:sz w:val="20"/>
                <w:szCs w:val="20"/>
              </w:rPr>
            </w:pPr>
            <w:r w:rsidRPr="0049163C">
              <w:rPr>
                <w:rFonts w:ascii="Century" w:hAnsi="Century"/>
                <w:sz w:val="20"/>
                <w:szCs w:val="20"/>
              </w:rPr>
              <w:t>Principio de residencia</w:t>
            </w:r>
          </w:p>
        </w:tc>
      </w:tr>
      <w:tr w:rsidR="003126CE" w:rsidRPr="0049163C" w:rsidTr="00C2067E">
        <w:trPr>
          <w:trHeight w:val="284"/>
          <w:jc w:val="center"/>
        </w:trPr>
        <w:tc>
          <w:tcPr>
            <w:tcW w:w="1047" w:type="pct"/>
            <w:vAlign w:val="center"/>
          </w:tcPr>
          <w:p w:rsidR="003126CE" w:rsidRPr="0049163C" w:rsidRDefault="003126CE" w:rsidP="0049163C">
            <w:pPr>
              <w:spacing w:line="360" w:lineRule="auto"/>
              <w:jc w:val="center"/>
              <w:rPr>
                <w:rFonts w:ascii="Century" w:hAnsi="Century"/>
                <w:sz w:val="20"/>
                <w:szCs w:val="20"/>
              </w:rPr>
            </w:pPr>
            <w:r w:rsidRPr="0049163C">
              <w:rPr>
                <w:rFonts w:ascii="Century" w:hAnsi="Century"/>
                <w:sz w:val="20"/>
                <w:szCs w:val="20"/>
              </w:rPr>
              <w:t>Luxemburgo</w:t>
            </w:r>
          </w:p>
        </w:tc>
        <w:tc>
          <w:tcPr>
            <w:tcW w:w="969" w:type="pct"/>
            <w:vAlign w:val="center"/>
          </w:tcPr>
          <w:p w:rsidR="003126CE" w:rsidRPr="0049163C" w:rsidRDefault="003126CE" w:rsidP="0049163C">
            <w:pPr>
              <w:spacing w:line="360" w:lineRule="auto"/>
              <w:jc w:val="center"/>
              <w:rPr>
                <w:rFonts w:ascii="Century" w:hAnsi="Century"/>
                <w:sz w:val="20"/>
                <w:szCs w:val="20"/>
              </w:rPr>
            </w:pPr>
            <w:r w:rsidRPr="0049163C">
              <w:rPr>
                <w:rFonts w:ascii="Century" w:hAnsi="Century"/>
                <w:sz w:val="20"/>
                <w:szCs w:val="20"/>
              </w:rPr>
              <w:t>SÍ</w:t>
            </w:r>
          </w:p>
        </w:tc>
        <w:tc>
          <w:tcPr>
            <w:tcW w:w="1454" w:type="pct"/>
            <w:vAlign w:val="center"/>
          </w:tcPr>
          <w:p w:rsidR="003126CE" w:rsidRPr="0049163C" w:rsidRDefault="003126CE" w:rsidP="0049163C">
            <w:pPr>
              <w:spacing w:line="360" w:lineRule="auto"/>
              <w:jc w:val="center"/>
              <w:rPr>
                <w:rFonts w:ascii="Century" w:hAnsi="Century"/>
                <w:sz w:val="20"/>
                <w:szCs w:val="20"/>
              </w:rPr>
            </w:pPr>
            <w:r w:rsidRPr="0049163C">
              <w:rPr>
                <w:rFonts w:ascii="Century" w:hAnsi="Century"/>
                <w:sz w:val="20"/>
                <w:szCs w:val="20"/>
              </w:rPr>
              <w:t>5%</w:t>
            </w:r>
          </w:p>
        </w:tc>
        <w:tc>
          <w:tcPr>
            <w:tcW w:w="1530" w:type="pct"/>
            <w:vAlign w:val="center"/>
          </w:tcPr>
          <w:p w:rsidR="003126CE" w:rsidRPr="0049163C" w:rsidRDefault="003126CE" w:rsidP="0049163C">
            <w:pPr>
              <w:spacing w:line="360" w:lineRule="auto"/>
              <w:jc w:val="center"/>
              <w:rPr>
                <w:rFonts w:ascii="Century" w:hAnsi="Century"/>
                <w:sz w:val="20"/>
                <w:szCs w:val="20"/>
              </w:rPr>
            </w:pPr>
            <w:r w:rsidRPr="0049163C">
              <w:rPr>
                <w:rFonts w:ascii="Century" w:hAnsi="Century"/>
                <w:sz w:val="20"/>
                <w:szCs w:val="20"/>
              </w:rPr>
              <w:t>Principio de residencia</w:t>
            </w:r>
          </w:p>
        </w:tc>
      </w:tr>
      <w:tr w:rsidR="003126CE" w:rsidRPr="0049163C" w:rsidTr="00C2067E">
        <w:trPr>
          <w:trHeight w:val="284"/>
          <w:jc w:val="center"/>
        </w:trPr>
        <w:tc>
          <w:tcPr>
            <w:tcW w:w="1047" w:type="pct"/>
            <w:vAlign w:val="center"/>
          </w:tcPr>
          <w:p w:rsidR="003126CE" w:rsidRPr="0049163C" w:rsidRDefault="003126CE" w:rsidP="0049163C">
            <w:pPr>
              <w:spacing w:line="360" w:lineRule="auto"/>
              <w:jc w:val="center"/>
              <w:rPr>
                <w:rFonts w:ascii="Century" w:hAnsi="Century"/>
                <w:sz w:val="20"/>
                <w:szCs w:val="20"/>
              </w:rPr>
            </w:pPr>
            <w:r w:rsidRPr="0049163C">
              <w:rPr>
                <w:rFonts w:ascii="Century" w:hAnsi="Century"/>
                <w:sz w:val="20"/>
                <w:szCs w:val="20"/>
              </w:rPr>
              <w:t>Malta</w:t>
            </w:r>
          </w:p>
        </w:tc>
        <w:tc>
          <w:tcPr>
            <w:tcW w:w="969" w:type="pct"/>
            <w:vAlign w:val="center"/>
          </w:tcPr>
          <w:p w:rsidR="003126CE" w:rsidRPr="0049163C" w:rsidRDefault="003126CE" w:rsidP="0049163C">
            <w:pPr>
              <w:spacing w:line="360" w:lineRule="auto"/>
              <w:jc w:val="center"/>
              <w:rPr>
                <w:rFonts w:ascii="Century" w:hAnsi="Century"/>
                <w:sz w:val="20"/>
                <w:szCs w:val="20"/>
              </w:rPr>
            </w:pPr>
            <w:r w:rsidRPr="0049163C">
              <w:rPr>
                <w:rFonts w:ascii="Century" w:hAnsi="Century"/>
                <w:sz w:val="20"/>
                <w:szCs w:val="20"/>
              </w:rPr>
              <w:t>NO</w:t>
            </w:r>
          </w:p>
        </w:tc>
        <w:tc>
          <w:tcPr>
            <w:tcW w:w="1454" w:type="pct"/>
            <w:vAlign w:val="center"/>
          </w:tcPr>
          <w:p w:rsidR="003126CE" w:rsidRPr="0049163C" w:rsidRDefault="003126CE" w:rsidP="0049163C">
            <w:pPr>
              <w:spacing w:line="360" w:lineRule="auto"/>
              <w:jc w:val="center"/>
              <w:rPr>
                <w:rFonts w:ascii="Century" w:hAnsi="Century"/>
                <w:sz w:val="20"/>
                <w:szCs w:val="20"/>
              </w:rPr>
            </w:pPr>
            <w:r w:rsidRPr="0049163C">
              <w:rPr>
                <w:rFonts w:ascii="Century" w:hAnsi="Century"/>
                <w:sz w:val="20"/>
                <w:szCs w:val="20"/>
              </w:rPr>
              <w:t>-</w:t>
            </w:r>
          </w:p>
        </w:tc>
        <w:tc>
          <w:tcPr>
            <w:tcW w:w="1530" w:type="pct"/>
            <w:vAlign w:val="center"/>
          </w:tcPr>
          <w:p w:rsidR="003126CE" w:rsidRPr="0049163C" w:rsidRDefault="003126CE" w:rsidP="0049163C">
            <w:pPr>
              <w:spacing w:line="360" w:lineRule="auto"/>
              <w:jc w:val="center"/>
              <w:rPr>
                <w:rFonts w:ascii="Century" w:hAnsi="Century"/>
                <w:sz w:val="20"/>
                <w:szCs w:val="20"/>
              </w:rPr>
            </w:pPr>
            <w:r w:rsidRPr="0049163C">
              <w:rPr>
                <w:rFonts w:ascii="Century" w:hAnsi="Century"/>
                <w:sz w:val="20"/>
                <w:szCs w:val="20"/>
              </w:rPr>
              <w:t>-</w:t>
            </w:r>
          </w:p>
        </w:tc>
      </w:tr>
      <w:tr w:rsidR="003126CE" w:rsidRPr="0049163C" w:rsidTr="00C2067E">
        <w:trPr>
          <w:trHeight w:val="284"/>
          <w:jc w:val="center"/>
        </w:trPr>
        <w:tc>
          <w:tcPr>
            <w:tcW w:w="1047" w:type="pct"/>
            <w:vAlign w:val="center"/>
          </w:tcPr>
          <w:p w:rsidR="003126CE" w:rsidRPr="0049163C" w:rsidRDefault="003126CE" w:rsidP="0049163C">
            <w:pPr>
              <w:spacing w:line="360" w:lineRule="auto"/>
              <w:jc w:val="center"/>
              <w:rPr>
                <w:rFonts w:ascii="Century" w:hAnsi="Century"/>
                <w:sz w:val="20"/>
                <w:szCs w:val="20"/>
              </w:rPr>
            </w:pPr>
            <w:r w:rsidRPr="0049163C">
              <w:rPr>
                <w:rFonts w:ascii="Century" w:hAnsi="Century"/>
                <w:sz w:val="20"/>
                <w:szCs w:val="20"/>
              </w:rPr>
              <w:t>Países Bajos</w:t>
            </w:r>
          </w:p>
        </w:tc>
        <w:tc>
          <w:tcPr>
            <w:tcW w:w="969" w:type="pct"/>
            <w:vAlign w:val="center"/>
          </w:tcPr>
          <w:p w:rsidR="003126CE" w:rsidRPr="0049163C" w:rsidRDefault="003126CE" w:rsidP="0049163C">
            <w:pPr>
              <w:spacing w:line="360" w:lineRule="auto"/>
              <w:jc w:val="center"/>
              <w:rPr>
                <w:rFonts w:ascii="Century" w:hAnsi="Century"/>
                <w:sz w:val="20"/>
                <w:szCs w:val="20"/>
              </w:rPr>
            </w:pPr>
            <w:r w:rsidRPr="0049163C">
              <w:rPr>
                <w:rFonts w:ascii="Century" w:hAnsi="Century"/>
                <w:sz w:val="20"/>
                <w:szCs w:val="20"/>
              </w:rPr>
              <w:t>SÍ</w:t>
            </w:r>
          </w:p>
        </w:tc>
        <w:tc>
          <w:tcPr>
            <w:tcW w:w="1454" w:type="pct"/>
            <w:vAlign w:val="center"/>
          </w:tcPr>
          <w:p w:rsidR="003126CE" w:rsidRPr="0049163C" w:rsidRDefault="003126CE" w:rsidP="0049163C">
            <w:pPr>
              <w:spacing w:line="360" w:lineRule="auto"/>
              <w:jc w:val="center"/>
              <w:rPr>
                <w:rFonts w:ascii="Century" w:hAnsi="Century"/>
                <w:sz w:val="20"/>
                <w:szCs w:val="20"/>
              </w:rPr>
            </w:pPr>
            <w:r w:rsidRPr="0049163C">
              <w:rPr>
                <w:rFonts w:ascii="Century" w:hAnsi="Century"/>
                <w:sz w:val="20"/>
                <w:szCs w:val="20"/>
              </w:rPr>
              <w:t>20%</w:t>
            </w:r>
          </w:p>
        </w:tc>
        <w:tc>
          <w:tcPr>
            <w:tcW w:w="1530" w:type="pct"/>
            <w:vAlign w:val="center"/>
          </w:tcPr>
          <w:p w:rsidR="003126CE" w:rsidRPr="0049163C" w:rsidRDefault="003126CE" w:rsidP="0049163C">
            <w:pPr>
              <w:spacing w:line="360" w:lineRule="auto"/>
              <w:jc w:val="center"/>
              <w:rPr>
                <w:rFonts w:ascii="Century" w:hAnsi="Century"/>
                <w:sz w:val="20"/>
                <w:szCs w:val="20"/>
              </w:rPr>
            </w:pPr>
            <w:r w:rsidRPr="0049163C">
              <w:rPr>
                <w:rFonts w:ascii="Century" w:hAnsi="Century"/>
                <w:sz w:val="20"/>
                <w:szCs w:val="20"/>
              </w:rPr>
              <w:t>Principio de residencia/ Principio de nacionalidad</w:t>
            </w:r>
          </w:p>
        </w:tc>
      </w:tr>
      <w:tr w:rsidR="003126CE" w:rsidRPr="0049163C" w:rsidTr="00C2067E">
        <w:trPr>
          <w:trHeight w:val="284"/>
          <w:jc w:val="center"/>
        </w:trPr>
        <w:tc>
          <w:tcPr>
            <w:tcW w:w="1047" w:type="pct"/>
            <w:vAlign w:val="center"/>
          </w:tcPr>
          <w:p w:rsidR="003126CE" w:rsidRPr="0049163C" w:rsidRDefault="003126CE" w:rsidP="0049163C">
            <w:pPr>
              <w:spacing w:line="360" w:lineRule="auto"/>
              <w:jc w:val="center"/>
              <w:rPr>
                <w:rFonts w:ascii="Century" w:hAnsi="Century"/>
                <w:sz w:val="20"/>
                <w:szCs w:val="20"/>
              </w:rPr>
            </w:pPr>
            <w:r w:rsidRPr="0049163C">
              <w:rPr>
                <w:rFonts w:ascii="Century" w:hAnsi="Century"/>
                <w:sz w:val="20"/>
                <w:szCs w:val="20"/>
              </w:rPr>
              <w:t>Polonia</w:t>
            </w:r>
          </w:p>
        </w:tc>
        <w:tc>
          <w:tcPr>
            <w:tcW w:w="969" w:type="pct"/>
            <w:vAlign w:val="center"/>
          </w:tcPr>
          <w:p w:rsidR="003126CE" w:rsidRPr="0049163C" w:rsidRDefault="003126CE" w:rsidP="0049163C">
            <w:pPr>
              <w:spacing w:line="360" w:lineRule="auto"/>
              <w:jc w:val="center"/>
              <w:rPr>
                <w:rFonts w:ascii="Century" w:hAnsi="Century"/>
                <w:sz w:val="20"/>
                <w:szCs w:val="20"/>
              </w:rPr>
            </w:pPr>
            <w:r w:rsidRPr="0049163C">
              <w:rPr>
                <w:rFonts w:ascii="Century" w:hAnsi="Century"/>
                <w:sz w:val="20"/>
                <w:szCs w:val="20"/>
              </w:rPr>
              <w:t>SÍ</w:t>
            </w:r>
          </w:p>
        </w:tc>
        <w:tc>
          <w:tcPr>
            <w:tcW w:w="1454" w:type="pct"/>
            <w:vAlign w:val="center"/>
          </w:tcPr>
          <w:p w:rsidR="003126CE" w:rsidRPr="0049163C" w:rsidRDefault="003126CE" w:rsidP="0049163C">
            <w:pPr>
              <w:spacing w:line="360" w:lineRule="auto"/>
              <w:jc w:val="center"/>
              <w:rPr>
                <w:rFonts w:ascii="Century" w:hAnsi="Century"/>
                <w:sz w:val="20"/>
                <w:szCs w:val="20"/>
              </w:rPr>
            </w:pPr>
            <w:r w:rsidRPr="0049163C">
              <w:rPr>
                <w:rFonts w:ascii="Century" w:hAnsi="Century"/>
                <w:sz w:val="20"/>
                <w:szCs w:val="20"/>
              </w:rPr>
              <w:t>7%</w:t>
            </w:r>
          </w:p>
        </w:tc>
        <w:tc>
          <w:tcPr>
            <w:tcW w:w="1530" w:type="pct"/>
            <w:vAlign w:val="center"/>
          </w:tcPr>
          <w:p w:rsidR="003126CE" w:rsidRPr="0049163C" w:rsidRDefault="003126CE" w:rsidP="0049163C">
            <w:pPr>
              <w:spacing w:line="360" w:lineRule="auto"/>
              <w:jc w:val="center"/>
              <w:rPr>
                <w:rFonts w:ascii="Century" w:hAnsi="Century"/>
                <w:sz w:val="20"/>
                <w:szCs w:val="20"/>
              </w:rPr>
            </w:pPr>
            <w:r w:rsidRPr="0049163C">
              <w:rPr>
                <w:rFonts w:ascii="Century" w:hAnsi="Century"/>
                <w:sz w:val="20"/>
                <w:szCs w:val="20"/>
              </w:rPr>
              <w:t>Principio de residencia/</w:t>
            </w:r>
          </w:p>
        </w:tc>
      </w:tr>
      <w:tr w:rsidR="003126CE" w:rsidRPr="0049163C" w:rsidTr="00C2067E">
        <w:trPr>
          <w:trHeight w:val="284"/>
          <w:jc w:val="center"/>
        </w:trPr>
        <w:tc>
          <w:tcPr>
            <w:tcW w:w="1047" w:type="pct"/>
            <w:vAlign w:val="center"/>
          </w:tcPr>
          <w:p w:rsidR="003126CE" w:rsidRPr="0049163C" w:rsidRDefault="003126CE" w:rsidP="0049163C">
            <w:pPr>
              <w:spacing w:line="360" w:lineRule="auto"/>
              <w:jc w:val="center"/>
              <w:rPr>
                <w:rFonts w:ascii="Century" w:hAnsi="Century"/>
                <w:sz w:val="20"/>
                <w:szCs w:val="20"/>
              </w:rPr>
            </w:pPr>
            <w:r w:rsidRPr="0049163C">
              <w:rPr>
                <w:rFonts w:ascii="Century" w:hAnsi="Century"/>
                <w:sz w:val="20"/>
                <w:szCs w:val="20"/>
              </w:rPr>
              <w:t>Portugal</w:t>
            </w:r>
          </w:p>
        </w:tc>
        <w:tc>
          <w:tcPr>
            <w:tcW w:w="969" w:type="pct"/>
            <w:vAlign w:val="center"/>
          </w:tcPr>
          <w:p w:rsidR="003126CE" w:rsidRPr="0049163C" w:rsidRDefault="003126CE" w:rsidP="0049163C">
            <w:pPr>
              <w:spacing w:line="360" w:lineRule="auto"/>
              <w:jc w:val="center"/>
              <w:rPr>
                <w:rFonts w:ascii="Century" w:hAnsi="Century"/>
                <w:sz w:val="20"/>
                <w:szCs w:val="20"/>
              </w:rPr>
            </w:pPr>
            <w:r w:rsidRPr="0049163C">
              <w:rPr>
                <w:rFonts w:ascii="Century" w:hAnsi="Century"/>
                <w:sz w:val="20"/>
                <w:szCs w:val="20"/>
              </w:rPr>
              <w:t>NO</w:t>
            </w:r>
          </w:p>
        </w:tc>
        <w:tc>
          <w:tcPr>
            <w:tcW w:w="1454" w:type="pct"/>
            <w:vAlign w:val="center"/>
          </w:tcPr>
          <w:p w:rsidR="003126CE" w:rsidRPr="0049163C" w:rsidRDefault="003126CE" w:rsidP="0049163C">
            <w:pPr>
              <w:spacing w:line="360" w:lineRule="auto"/>
              <w:jc w:val="center"/>
              <w:rPr>
                <w:rFonts w:ascii="Century" w:hAnsi="Century"/>
                <w:sz w:val="20"/>
                <w:szCs w:val="20"/>
              </w:rPr>
            </w:pPr>
            <w:r w:rsidRPr="0049163C">
              <w:rPr>
                <w:rFonts w:ascii="Century" w:hAnsi="Century"/>
                <w:sz w:val="20"/>
                <w:szCs w:val="20"/>
              </w:rPr>
              <w:t>-</w:t>
            </w:r>
          </w:p>
        </w:tc>
        <w:tc>
          <w:tcPr>
            <w:tcW w:w="1530" w:type="pct"/>
            <w:vAlign w:val="center"/>
          </w:tcPr>
          <w:p w:rsidR="003126CE" w:rsidRPr="0049163C" w:rsidRDefault="003126CE" w:rsidP="0049163C">
            <w:pPr>
              <w:spacing w:line="360" w:lineRule="auto"/>
              <w:jc w:val="center"/>
              <w:rPr>
                <w:rFonts w:ascii="Century" w:hAnsi="Century"/>
                <w:sz w:val="20"/>
                <w:szCs w:val="20"/>
              </w:rPr>
            </w:pPr>
            <w:r w:rsidRPr="0049163C">
              <w:rPr>
                <w:rFonts w:ascii="Century" w:hAnsi="Century"/>
                <w:sz w:val="20"/>
                <w:szCs w:val="20"/>
              </w:rPr>
              <w:t>-</w:t>
            </w:r>
          </w:p>
        </w:tc>
      </w:tr>
      <w:tr w:rsidR="003126CE" w:rsidRPr="0049163C" w:rsidTr="00C2067E">
        <w:trPr>
          <w:trHeight w:val="284"/>
          <w:jc w:val="center"/>
        </w:trPr>
        <w:tc>
          <w:tcPr>
            <w:tcW w:w="1047" w:type="pct"/>
            <w:vAlign w:val="center"/>
          </w:tcPr>
          <w:p w:rsidR="003126CE" w:rsidRPr="0049163C" w:rsidRDefault="003126CE" w:rsidP="0049163C">
            <w:pPr>
              <w:spacing w:line="360" w:lineRule="auto"/>
              <w:jc w:val="center"/>
              <w:rPr>
                <w:rFonts w:ascii="Century" w:hAnsi="Century"/>
                <w:sz w:val="20"/>
                <w:szCs w:val="20"/>
              </w:rPr>
            </w:pPr>
            <w:r w:rsidRPr="0049163C">
              <w:rPr>
                <w:rFonts w:ascii="Century" w:hAnsi="Century"/>
                <w:sz w:val="20"/>
                <w:szCs w:val="20"/>
              </w:rPr>
              <w:t>Reino Unido</w:t>
            </w:r>
          </w:p>
        </w:tc>
        <w:tc>
          <w:tcPr>
            <w:tcW w:w="969" w:type="pct"/>
            <w:vAlign w:val="center"/>
          </w:tcPr>
          <w:p w:rsidR="003126CE" w:rsidRPr="0049163C" w:rsidRDefault="003126CE" w:rsidP="0049163C">
            <w:pPr>
              <w:spacing w:line="360" w:lineRule="auto"/>
              <w:jc w:val="center"/>
              <w:rPr>
                <w:rFonts w:ascii="Century" w:hAnsi="Century"/>
                <w:sz w:val="20"/>
                <w:szCs w:val="20"/>
              </w:rPr>
            </w:pPr>
            <w:r w:rsidRPr="0049163C">
              <w:rPr>
                <w:rFonts w:ascii="Century" w:hAnsi="Century"/>
                <w:sz w:val="20"/>
                <w:szCs w:val="20"/>
              </w:rPr>
              <w:t>SÍ</w:t>
            </w:r>
          </w:p>
        </w:tc>
        <w:tc>
          <w:tcPr>
            <w:tcW w:w="1454" w:type="pct"/>
            <w:vAlign w:val="center"/>
          </w:tcPr>
          <w:p w:rsidR="003126CE" w:rsidRPr="0049163C" w:rsidRDefault="003126CE" w:rsidP="0049163C">
            <w:pPr>
              <w:spacing w:line="360" w:lineRule="auto"/>
              <w:jc w:val="center"/>
              <w:rPr>
                <w:rFonts w:ascii="Century" w:hAnsi="Century"/>
                <w:sz w:val="20"/>
                <w:szCs w:val="20"/>
              </w:rPr>
            </w:pPr>
            <w:r w:rsidRPr="0049163C">
              <w:rPr>
                <w:rFonts w:ascii="Century" w:hAnsi="Century"/>
                <w:sz w:val="20"/>
                <w:szCs w:val="20"/>
              </w:rPr>
              <w:t>40% (Fijo)</w:t>
            </w:r>
          </w:p>
        </w:tc>
        <w:tc>
          <w:tcPr>
            <w:tcW w:w="1530" w:type="pct"/>
            <w:vAlign w:val="center"/>
          </w:tcPr>
          <w:p w:rsidR="003126CE" w:rsidRPr="0049163C" w:rsidRDefault="003126CE" w:rsidP="0049163C">
            <w:pPr>
              <w:spacing w:line="360" w:lineRule="auto"/>
              <w:jc w:val="center"/>
              <w:rPr>
                <w:rFonts w:ascii="Century" w:hAnsi="Century"/>
                <w:sz w:val="20"/>
                <w:szCs w:val="20"/>
              </w:rPr>
            </w:pPr>
            <w:r w:rsidRPr="0049163C">
              <w:rPr>
                <w:rFonts w:ascii="Century" w:hAnsi="Century"/>
                <w:sz w:val="20"/>
                <w:szCs w:val="20"/>
              </w:rPr>
              <w:t>Principio de domicilio</w:t>
            </w:r>
          </w:p>
        </w:tc>
      </w:tr>
      <w:tr w:rsidR="003126CE" w:rsidRPr="0049163C" w:rsidTr="00C2067E">
        <w:trPr>
          <w:trHeight w:val="284"/>
          <w:jc w:val="center"/>
        </w:trPr>
        <w:tc>
          <w:tcPr>
            <w:tcW w:w="1047" w:type="pct"/>
            <w:vAlign w:val="center"/>
          </w:tcPr>
          <w:p w:rsidR="003126CE" w:rsidRPr="0049163C" w:rsidRDefault="003126CE" w:rsidP="0049163C">
            <w:pPr>
              <w:spacing w:line="360" w:lineRule="auto"/>
              <w:jc w:val="center"/>
              <w:rPr>
                <w:rFonts w:ascii="Century" w:hAnsi="Century"/>
                <w:sz w:val="20"/>
                <w:szCs w:val="20"/>
              </w:rPr>
            </w:pPr>
            <w:r w:rsidRPr="0049163C">
              <w:rPr>
                <w:rFonts w:ascii="Century" w:hAnsi="Century"/>
                <w:sz w:val="20"/>
                <w:szCs w:val="20"/>
              </w:rPr>
              <w:t>República Checa</w:t>
            </w:r>
          </w:p>
        </w:tc>
        <w:tc>
          <w:tcPr>
            <w:tcW w:w="969" w:type="pct"/>
            <w:vAlign w:val="center"/>
          </w:tcPr>
          <w:p w:rsidR="003126CE" w:rsidRPr="0049163C" w:rsidRDefault="003126CE" w:rsidP="0049163C">
            <w:pPr>
              <w:spacing w:line="360" w:lineRule="auto"/>
              <w:jc w:val="center"/>
              <w:rPr>
                <w:rFonts w:ascii="Century" w:hAnsi="Century"/>
                <w:sz w:val="20"/>
                <w:szCs w:val="20"/>
              </w:rPr>
            </w:pPr>
            <w:r w:rsidRPr="0049163C">
              <w:rPr>
                <w:rFonts w:ascii="Century" w:hAnsi="Century"/>
                <w:sz w:val="20"/>
                <w:szCs w:val="20"/>
              </w:rPr>
              <w:t>NO</w:t>
            </w:r>
          </w:p>
        </w:tc>
        <w:tc>
          <w:tcPr>
            <w:tcW w:w="1454" w:type="pct"/>
            <w:vAlign w:val="center"/>
          </w:tcPr>
          <w:p w:rsidR="003126CE" w:rsidRPr="0049163C" w:rsidRDefault="003126CE" w:rsidP="0049163C">
            <w:pPr>
              <w:spacing w:line="360" w:lineRule="auto"/>
              <w:jc w:val="center"/>
              <w:rPr>
                <w:rFonts w:ascii="Century" w:hAnsi="Century"/>
                <w:sz w:val="20"/>
                <w:szCs w:val="20"/>
              </w:rPr>
            </w:pPr>
            <w:r w:rsidRPr="0049163C">
              <w:rPr>
                <w:rFonts w:ascii="Century" w:hAnsi="Century"/>
                <w:sz w:val="20"/>
                <w:szCs w:val="20"/>
              </w:rPr>
              <w:t>-</w:t>
            </w:r>
          </w:p>
        </w:tc>
        <w:tc>
          <w:tcPr>
            <w:tcW w:w="1530" w:type="pct"/>
            <w:vAlign w:val="center"/>
          </w:tcPr>
          <w:p w:rsidR="003126CE" w:rsidRPr="0049163C" w:rsidRDefault="003126CE" w:rsidP="0049163C">
            <w:pPr>
              <w:spacing w:line="360" w:lineRule="auto"/>
              <w:jc w:val="center"/>
              <w:rPr>
                <w:rFonts w:ascii="Century" w:hAnsi="Century"/>
                <w:sz w:val="20"/>
                <w:szCs w:val="20"/>
              </w:rPr>
            </w:pPr>
            <w:r w:rsidRPr="0049163C">
              <w:rPr>
                <w:rFonts w:ascii="Century" w:hAnsi="Century"/>
                <w:sz w:val="20"/>
                <w:szCs w:val="20"/>
              </w:rPr>
              <w:t>-</w:t>
            </w:r>
          </w:p>
        </w:tc>
      </w:tr>
      <w:tr w:rsidR="003126CE" w:rsidRPr="0049163C" w:rsidTr="00C2067E">
        <w:trPr>
          <w:trHeight w:val="284"/>
          <w:jc w:val="center"/>
        </w:trPr>
        <w:tc>
          <w:tcPr>
            <w:tcW w:w="1047" w:type="pct"/>
            <w:vAlign w:val="center"/>
          </w:tcPr>
          <w:p w:rsidR="003126CE" w:rsidRPr="0049163C" w:rsidRDefault="003126CE" w:rsidP="0049163C">
            <w:pPr>
              <w:spacing w:line="360" w:lineRule="auto"/>
              <w:jc w:val="center"/>
              <w:rPr>
                <w:rFonts w:ascii="Century" w:hAnsi="Century"/>
                <w:sz w:val="20"/>
                <w:szCs w:val="20"/>
              </w:rPr>
            </w:pPr>
            <w:r w:rsidRPr="0049163C">
              <w:rPr>
                <w:rFonts w:ascii="Century" w:hAnsi="Century"/>
                <w:sz w:val="20"/>
                <w:szCs w:val="20"/>
              </w:rPr>
              <w:t>Rumanía</w:t>
            </w:r>
          </w:p>
        </w:tc>
        <w:tc>
          <w:tcPr>
            <w:tcW w:w="969" w:type="pct"/>
            <w:vAlign w:val="center"/>
          </w:tcPr>
          <w:p w:rsidR="003126CE" w:rsidRPr="0049163C" w:rsidRDefault="003126CE" w:rsidP="0049163C">
            <w:pPr>
              <w:spacing w:line="360" w:lineRule="auto"/>
              <w:jc w:val="center"/>
              <w:rPr>
                <w:rFonts w:ascii="Century" w:hAnsi="Century"/>
                <w:sz w:val="20"/>
                <w:szCs w:val="20"/>
              </w:rPr>
            </w:pPr>
            <w:r w:rsidRPr="0049163C">
              <w:rPr>
                <w:rFonts w:ascii="Century" w:hAnsi="Century"/>
                <w:sz w:val="20"/>
                <w:szCs w:val="20"/>
              </w:rPr>
              <w:t>NO</w:t>
            </w:r>
          </w:p>
        </w:tc>
        <w:tc>
          <w:tcPr>
            <w:tcW w:w="1454" w:type="pct"/>
            <w:vAlign w:val="center"/>
          </w:tcPr>
          <w:p w:rsidR="003126CE" w:rsidRPr="0049163C" w:rsidRDefault="003126CE" w:rsidP="0049163C">
            <w:pPr>
              <w:spacing w:line="360" w:lineRule="auto"/>
              <w:jc w:val="center"/>
              <w:rPr>
                <w:rFonts w:ascii="Century" w:hAnsi="Century"/>
                <w:sz w:val="20"/>
                <w:szCs w:val="20"/>
              </w:rPr>
            </w:pPr>
            <w:r w:rsidRPr="0049163C">
              <w:rPr>
                <w:rFonts w:ascii="Century" w:hAnsi="Century"/>
                <w:sz w:val="20"/>
                <w:szCs w:val="20"/>
              </w:rPr>
              <w:t>-</w:t>
            </w:r>
          </w:p>
        </w:tc>
        <w:tc>
          <w:tcPr>
            <w:tcW w:w="1530" w:type="pct"/>
            <w:vAlign w:val="center"/>
          </w:tcPr>
          <w:p w:rsidR="003126CE" w:rsidRPr="0049163C" w:rsidRDefault="003126CE" w:rsidP="0049163C">
            <w:pPr>
              <w:spacing w:line="360" w:lineRule="auto"/>
              <w:jc w:val="center"/>
              <w:rPr>
                <w:rFonts w:ascii="Century" w:hAnsi="Century"/>
                <w:sz w:val="20"/>
                <w:szCs w:val="20"/>
              </w:rPr>
            </w:pPr>
            <w:r w:rsidRPr="0049163C">
              <w:rPr>
                <w:rFonts w:ascii="Century" w:hAnsi="Century"/>
                <w:sz w:val="20"/>
                <w:szCs w:val="20"/>
              </w:rPr>
              <w:t>-</w:t>
            </w:r>
          </w:p>
        </w:tc>
      </w:tr>
      <w:tr w:rsidR="003126CE" w:rsidRPr="0049163C" w:rsidTr="00C2067E">
        <w:trPr>
          <w:trHeight w:val="284"/>
          <w:jc w:val="center"/>
        </w:trPr>
        <w:tc>
          <w:tcPr>
            <w:tcW w:w="1047" w:type="pct"/>
            <w:vAlign w:val="center"/>
          </w:tcPr>
          <w:p w:rsidR="003126CE" w:rsidRPr="0049163C" w:rsidRDefault="003126CE" w:rsidP="0049163C">
            <w:pPr>
              <w:spacing w:line="360" w:lineRule="auto"/>
              <w:jc w:val="center"/>
              <w:rPr>
                <w:rFonts w:ascii="Century" w:hAnsi="Century"/>
                <w:sz w:val="20"/>
                <w:szCs w:val="20"/>
              </w:rPr>
            </w:pPr>
            <w:r w:rsidRPr="0049163C">
              <w:rPr>
                <w:rFonts w:ascii="Century" w:hAnsi="Century"/>
                <w:sz w:val="20"/>
                <w:szCs w:val="20"/>
              </w:rPr>
              <w:t>Suecia</w:t>
            </w:r>
          </w:p>
        </w:tc>
        <w:tc>
          <w:tcPr>
            <w:tcW w:w="969" w:type="pct"/>
            <w:vAlign w:val="center"/>
          </w:tcPr>
          <w:p w:rsidR="003126CE" w:rsidRPr="0049163C" w:rsidRDefault="003126CE" w:rsidP="0049163C">
            <w:pPr>
              <w:spacing w:line="360" w:lineRule="auto"/>
              <w:jc w:val="center"/>
              <w:rPr>
                <w:rFonts w:ascii="Century" w:hAnsi="Century"/>
                <w:sz w:val="20"/>
                <w:szCs w:val="20"/>
              </w:rPr>
            </w:pPr>
            <w:r w:rsidRPr="0049163C">
              <w:rPr>
                <w:rFonts w:ascii="Century" w:hAnsi="Century"/>
                <w:sz w:val="20"/>
                <w:szCs w:val="20"/>
              </w:rPr>
              <w:t>NO</w:t>
            </w:r>
          </w:p>
        </w:tc>
        <w:tc>
          <w:tcPr>
            <w:tcW w:w="1454" w:type="pct"/>
            <w:vAlign w:val="center"/>
          </w:tcPr>
          <w:p w:rsidR="003126CE" w:rsidRPr="0049163C" w:rsidRDefault="003126CE" w:rsidP="0049163C">
            <w:pPr>
              <w:spacing w:line="360" w:lineRule="auto"/>
              <w:jc w:val="center"/>
              <w:rPr>
                <w:rFonts w:ascii="Century" w:hAnsi="Century"/>
                <w:sz w:val="20"/>
                <w:szCs w:val="20"/>
              </w:rPr>
            </w:pPr>
            <w:r w:rsidRPr="0049163C">
              <w:rPr>
                <w:rFonts w:ascii="Century" w:hAnsi="Century"/>
                <w:sz w:val="20"/>
                <w:szCs w:val="20"/>
              </w:rPr>
              <w:t>-</w:t>
            </w:r>
          </w:p>
        </w:tc>
        <w:tc>
          <w:tcPr>
            <w:tcW w:w="1530" w:type="pct"/>
            <w:vAlign w:val="center"/>
          </w:tcPr>
          <w:p w:rsidR="003126CE" w:rsidRPr="0049163C" w:rsidRDefault="003126CE" w:rsidP="0049163C">
            <w:pPr>
              <w:spacing w:line="360" w:lineRule="auto"/>
              <w:jc w:val="center"/>
              <w:rPr>
                <w:rFonts w:ascii="Century" w:hAnsi="Century"/>
                <w:sz w:val="20"/>
                <w:szCs w:val="20"/>
              </w:rPr>
            </w:pPr>
            <w:r w:rsidRPr="0049163C">
              <w:rPr>
                <w:rFonts w:ascii="Century" w:hAnsi="Century"/>
                <w:sz w:val="20"/>
                <w:szCs w:val="20"/>
              </w:rPr>
              <w:t>-</w:t>
            </w:r>
          </w:p>
        </w:tc>
      </w:tr>
    </w:tbl>
    <w:p w:rsidR="00473C8D" w:rsidRDefault="003126CE" w:rsidP="007860C3">
      <w:pPr>
        <w:spacing w:after="0" w:line="360" w:lineRule="auto"/>
        <w:ind w:right="-1"/>
        <w:jc w:val="both"/>
        <w:rPr>
          <w:rFonts w:ascii="Century" w:hAnsi="Century"/>
          <w:i/>
          <w:sz w:val="18"/>
          <w:szCs w:val="18"/>
        </w:rPr>
      </w:pPr>
      <w:r w:rsidRPr="00FD69B4">
        <w:rPr>
          <w:rFonts w:ascii="Century" w:hAnsi="Century"/>
          <w:i/>
          <w:sz w:val="18"/>
          <w:szCs w:val="18"/>
        </w:rPr>
        <w:t>Fuente</w:t>
      </w:r>
      <w:r w:rsidRPr="00FD69B4">
        <w:rPr>
          <w:rFonts w:cstheme="minorHAnsi"/>
          <w:i/>
          <w:sz w:val="18"/>
          <w:szCs w:val="18"/>
        </w:rPr>
        <w:t>:</w:t>
      </w:r>
      <w:r w:rsidRPr="00FD69B4">
        <w:rPr>
          <w:rFonts w:ascii="Century" w:hAnsi="Century"/>
          <w:i/>
          <w:sz w:val="18"/>
          <w:szCs w:val="18"/>
        </w:rPr>
        <w:t xml:space="preserve"> Elaboración propia </w:t>
      </w:r>
      <w:r w:rsidR="001C6FFD" w:rsidRPr="00FD69B4">
        <w:rPr>
          <w:rFonts w:ascii="Century" w:hAnsi="Century"/>
          <w:i/>
          <w:sz w:val="18"/>
          <w:szCs w:val="18"/>
        </w:rPr>
        <w:t>a partir de la información obtenida</w:t>
      </w:r>
      <w:r w:rsidRPr="00FD69B4">
        <w:rPr>
          <w:rFonts w:ascii="Century" w:hAnsi="Century"/>
          <w:i/>
          <w:sz w:val="18"/>
          <w:szCs w:val="18"/>
        </w:rPr>
        <w:t xml:space="preserve"> de </w:t>
      </w:r>
      <w:proofErr w:type="spellStart"/>
      <w:r w:rsidRPr="00FD69B4">
        <w:rPr>
          <w:rFonts w:ascii="Century" w:hAnsi="Century"/>
          <w:i/>
          <w:sz w:val="18"/>
          <w:szCs w:val="18"/>
        </w:rPr>
        <w:t>Worldwide</w:t>
      </w:r>
      <w:proofErr w:type="spellEnd"/>
      <w:r w:rsidRPr="00FD69B4">
        <w:rPr>
          <w:rFonts w:ascii="Century" w:hAnsi="Century"/>
          <w:i/>
          <w:sz w:val="18"/>
          <w:szCs w:val="18"/>
        </w:rPr>
        <w:t xml:space="preserve"> Estate and </w:t>
      </w:r>
      <w:proofErr w:type="spellStart"/>
      <w:r w:rsidRPr="00FD69B4">
        <w:rPr>
          <w:rFonts w:ascii="Century" w:hAnsi="Century"/>
          <w:i/>
          <w:sz w:val="18"/>
          <w:szCs w:val="18"/>
        </w:rPr>
        <w:t>Inheritance</w:t>
      </w:r>
      <w:proofErr w:type="spellEnd"/>
      <w:r w:rsidRPr="00FD69B4">
        <w:rPr>
          <w:rFonts w:ascii="Century" w:hAnsi="Century"/>
          <w:i/>
          <w:sz w:val="18"/>
          <w:szCs w:val="18"/>
        </w:rPr>
        <w:t xml:space="preserve"> </w:t>
      </w:r>
      <w:proofErr w:type="spellStart"/>
      <w:r w:rsidRPr="00FD69B4">
        <w:rPr>
          <w:rFonts w:ascii="Century" w:hAnsi="Century"/>
          <w:i/>
          <w:sz w:val="18"/>
          <w:szCs w:val="18"/>
        </w:rPr>
        <w:t>Tax</w:t>
      </w:r>
      <w:proofErr w:type="spellEnd"/>
      <w:r w:rsidRPr="00FD69B4">
        <w:rPr>
          <w:rFonts w:ascii="Century" w:hAnsi="Century"/>
          <w:i/>
          <w:sz w:val="18"/>
          <w:szCs w:val="18"/>
        </w:rPr>
        <w:t xml:space="preserve"> Guide</w:t>
      </w:r>
      <w:r w:rsidRPr="00FD69B4">
        <w:rPr>
          <w:rFonts w:cstheme="minorHAnsi"/>
          <w:i/>
          <w:sz w:val="18"/>
          <w:szCs w:val="18"/>
        </w:rPr>
        <w:t>:</w:t>
      </w:r>
      <w:r w:rsidR="001C6FFD" w:rsidRPr="00FD69B4">
        <w:rPr>
          <w:rFonts w:ascii="Century" w:hAnsi="Century"/>
          <w:i/>
          <w:sz w:val="18"/>
          <w:szCs w:val="18"/>
        </w:rPr>
        <w:t xml:space="preserve"> 2017</w:t>
      </w:r>
      <w:r w:rsidRPr="00FD69B4">
        <w:rPr>
          <w:rFonts w:ascii="Century" w:hAnsi="Century"/>
          <w:i/>
          <w:sz w:val="18"/>
          <w:szCs w:val="18"/>
        </w:rPr>
        <w:t xml:space="preserve"> - Ernst &amp; Young e Institu</w:t>
      </w:r>
      <w:r w:rsidR="001C6FFD" w:rsidRPr="00FD69B4">
        <w:rPr>
          <w:rFonts w:ascii="Century" w:hAnsi="Century"/>
          <w:i/>
          <w:sz w:val="18"/>
          <w:szCs w:val="18"/>
        </w:rPr>
        <w:t xml:space="preserve">to Español de Comercio Exterior </w:t>
      </w:r>
      <w:r w:rsidRPr="00FD69B4">
        <w:rPr>
          <w:rFonts w:ascii="Century" w:hAnsi="Century"/>
          <w:i/>
          <w:sz w:val="18"/>
          <w:szCs w:val="18"/>
        </w:rPr>
        <w:t>(ICEX)</w:t>
      </w:r>
    </w:p>
    <w:p w:rsidR="003126CE" w:rsidRPr="007949C2" w:rsidRDefault="003126CE" w:rsidP="002D11BC">
      <w:pPr>
        <w:spacing w:after="240" w:line="360" w:lineRule="auto"/>
        <w:jc w:val="both"/>
        <w:rPr>
          <w:rFonts w:ascii="Century" w:hAnsi="Century"/>
          <w:color w:val="FF0000"/>
          <w:sz w:val="24"/>
          <w:szCs w:val="24"/>
        </w:rPr>
      </w:pPr>
      <w:r w:rsidRPr="002C13F3">
        <w:rPr>
          <w:rFonts w:ascii="Century" w:hAnsi="Century"/>
          <w:sz w:val="24"/>
          <w:szCs w:val="24"/>
        </w:rPr>
        <w:lastRenderedPageBreak/>
        <w:tab/>
      </w:r>
      <w:r w:rsidR="001C6FFD">
        <w:rPr>
          <w:rFonts w:ascii="Century" w:hAnsi="Century"/>
          <w:sz w:val="24"/>
          <w:szCs w:val="24"/>
        </w:rPr>
        <w:t>De la tabla, podemos extraer diversas conclusiones. L</w:t>
      </w:r>
      <w:r w:rsidRPr="002C13F3">
        <w:rPr>
          <w:rFonts w:ascii="Century" w:hAnsi="Century"/>
          <w:sz w:val="24"/>
          <w:szCs w:val="24"/>
        </w:rPr>
        <w:t>a primera consideración fundamental a tener en cuenta e</w:t>
      </w:r>
      <w:r w:rsidR="001C6FFD">
        <w:rPr>
          <w:rFonts w:ascii="Century" w:hAnsi="Century"/>
          <w:sz w:val="24"/>
          <w:szCs w:val="24"/>
        </w:rPr>
        <w:t xml:space="preserve">s que no todos los EM regulan un impuesto sobre las sucesiones. De los 28 países referidos, tan sólo 18 </w:t>
      </w:r>
      <w:r w:rsidRPr="002C13F3">
        <w:rPr>
          <w:rFonts w:ascii="Century" w:hAnsi="Century"/>
          <w:sz w:val="24"/>
          <w:szCs w:val="24"/>
        </w:rPr>
        <w:t xml:space="preserve">recaudan impuestos específicos cuando fallece una persona, mientras que los </w:t>
      </w:r>
      <w:r w:rsidRPr="004C6BA8">
        <w:rPr>
          <w:rFonts w:ascii="Century" w:hAnsi="Century"/>
          <w:sz w:val="24"/>
          <w:szCs w:val="24"/>
        </w:rPr>
        <w:t>restantes Estados</w:t>
      </w:r>
      <w:r w:rsidR="001C6FFD" w:rsidRPr="004C6BA8">
        <w:rPr>
          <w:rFonts w:ascii="Century" w:hAnsi="Century"/>
          <w:sz w:val="24"/>
          <w:szCs w:val="24"/>
        </w:rPr>
        <w:t xml:space="preserve"> bien</w:t>
      </w:r>
      <w:r w:rsidRPr="004C6BA8">
        <w:rPr>
          <w:rFonts w:ascii="Century" w:hAnsi="Century"/>
          <w:sz w:val="24"/>
          <w:szCs w:val="24"/>
        </w:rPr>
        <w:t xml:space="preserve"> gravan </w:t>
      </w:r>
      <w:r w:rsidR="001C6FFD" w:rsidRPr="004C6BA8">
        <w:rPr>
          <w:rFonts w:ascii="Century" w:hAnsi="Century"/>
          <w:sz w:val="24"/>
          <w:szCs w:val="24"/>
        </w:rPr>
        <w:t xml:space="preserve">las adquisiciones </w:t>
      </w:r>
      <w:r w:rsidR="001C6FFD" w:rsidRPr="004C6BA8">
        <w:rPr>
          <w:rFonts w:ascii="Century" w:hAnsi="Century"/>
          <w:i/>
          <w:sz w:val="24"/>
          <w:szCs w:val="24"/>
        </w:rPr>
        <w:t>mortis causa</w:t>
      </w:r>
      <w:r w:rsidR="007949C2" w:rsidRPr="004C6BA8">
        <w:rPr>
          <w:rFonts w:ascii="Century" w:hAnsi="Century"/>
          <w:i/>
          <w:sz w:val="24"/>
          <w:szCs w:val="24"/>
        </w:rPr>
        <w:t xml:space="preserve"> </w:t>
      </w:r>
      <w:r w:rsidR="004C6BA8" w:rsidRPr="004C6BA8">
        <w:rPr>
          <w:rFonts w:ascii="Century" w:hAnsi="Century"/>
          <w:sz w:val="24"/>
          <w:szCs w:val="24"/>
        </w:rPr>
        <w:t xml:space="preserve">por otro tipo de impuestos </w:t>
      </w:r>
      <w:r w:rsidR="001C6FFD" w:rsidRPr="004C6BA8">
        <w:rPr>
          <w:rFonts w:ascii="Century" w:hAnsi="Century"/>
          <w:sz w:val="24"/>
          <w:szCs w:val="24"/>
        </w:rPr>
        <w:t>ya existentes</w:t>
      </w:r>
      <w:r w:rsidRPr="004C6BA8">
        <w:rPr>
          <w:rFonts w:ascii="Century" w:hAnsi="Century"/>
          <w:sz w:val="24"/>
          <w:szCs w:val="24"/>
        </w:rPr>
        <w:t>.</w:t>
      </w:r>
      <w:r w:rsidRPr="007949C2">
        <w:rPr>
          <w:rFonts w:ascii="Century" w:hAnsi="Century"/>
          <w:color w:val="FF0000"/>
          <w:sz w:val="24"/>
          <w:szCs w:val="24"/>
        </w:rPr>
        <w:t xml:space="preserve"> </w:t>
      </w:r>
    </w:p>
    <w:p w:rsidR="003126CE" w:rsidRPr="002C13F3" w:rsidRDefault="003126CE" w:rsidP="002D11BC">
      <w:pPr>
        <w:spacing w:after="240" w:line="360" w:lineRule="auto"/>
        <w:jc w:val="both"/>
        <w:rPr>
          <w:rFonts w:ascii="Century" w:hAnsi="Century"/>
          <w:sz w:val="24"/>
          <w:szCs w:val="24"/>
        </w:rPr>
      </w:pPr>
      <w:r w:rsidRPr="002C13F3">
        <w:rPr>
          <w:rFonts w:ascii="Century" w:hAnsi="Century"/>
          <w:sz w:val="24"/>
          <w:szCs w:val="24"/>
        </w:rPr>
        <w:tab/>
      </w:r>
      <w:r w:rsidR="007949C2">
        <w:rPr>
          <w:rFonts w:ascii="Century" w:hAnsi="Century"/>
          <w:sz w:val="24"/>
          <w:szCs w:val="24"/>
        </w:rPr>
        <w:t>Con relación a</w:t>
      </w:r>
      <w:r w:rsidRPr="002C13F3">
        <w:rPr>
          <w:rFonts w:ascii="Century" w:hAnsi="Century"/>
          <w:sz w:val="24"/>
          <w:szCs w:val="24"/>
        </w:rPr>
        <w:t>l tipo impositivo ap</w:t>
      </w:r>
      <w:r w:rsidR="00950A0C">
        <w:rPr>
          <w:rFonts w:ascii="Century" w:hAnsi="Century"/>
          <w:sz w:val="24"/>
          <w:szCs w:val="24"/>
        </w:rPr>
        <w:t>licable, en la mayoría de los EM</w:t>
      </w:r>
      <w:r w:rsidRPr="002C13F3">
        <w:rPr>
          <w:rFonts w:ascii="Century" w:hAnsi="Century"/>
          <w:sz w:val="24"/>
          <w:szCs w:val="24"/>
        </w:rPr>
        <w:t xml:space="preserve"> el impuesto se cuantifica mediante una escala progresiva de gravamen, variando los tipos según el grado de parentesco entre el causante y el heredero y la cantidad que se recibe en la herencia, siendo más elevado para los parientes más lejanos. No obstante, países como Dinamarca, Irlanda, Italia y Reino Unido aplican unos tipos fijos. Los tipos máximos más altos se aplican en Francia, seguido de Reino Unido, España e Irlanda. </w:t>
      </w:r>
      <w:r w:rsidR="00950A0C">
        <w:rPr>
          <w:rFonts w:ascii="Century" w:hAnsi="Century"/>
          <w:sz w:val="24"/>
          <w:szCs w:val="24"/>
        </w:rPr>
        <w:t>Por el contrario, l</w:t>
      </w:r>
      <w:r w:rsidRPr="002C13F3">
        <w:rPr>
          <w:rFonts w:ascii="Century" w:hAnsi="Century"/>
          <w:sz w:val="24"/>
          <w:szCs w:val="24"/>
        </w:rPr>
        <w:t>os</w:t>
      </w:r>
      <w:r w:rsidR="00426516" w:rsidRPr="002C13F3">
        <w:rPr>
          <w:rFonts w:ascii="Century" w:hAnsi="Century"/>
          <w:sz w:val="24"/>
          <w:szCs w:val="24"/>
        </w:rPr>
        <w:t xml:space="preserve"> países que establecen unos tipos impositivos mínimo</w:t>
      </w:r>
      <w:r w:rsidRPr="002C13F3">
        <w:rPr>
          <w:rFonts w:ascii="Century" w:hAnsi="Century"/>
          <w:sz w:val="24"/>
          <w:szCs w:val="24"/>
        </w:rPr>
        <w:t>s son Italia, Croacia y Luxemburgo. En Bulgaria, Eslovenia y Lituania, existe el impuesto pero con un tipo de gravamen del 0 por ciento para los parientes más próximos</w:t>
      </w:r>
      <w:r w:rsidR="00580086">
        <w:rPr>
          <w:rStyle w:val="Refdenotaalpie"/>
          <w:rFonts w:ascii="Century" w:hAnsi="Century"/>
          <w:sz w:val="24"/>
          <w:szCs w:val="24"/>
        </w:rPr>
        <w:footnoteReference w:id="30"/>
      </w:r>
      <w:r w:rsidRPr="002C13F3">
        <w:rPr>
          <w:rFonts w:ascii="Century" w:hAnsi="Century"/>
          <w:sz w:val="24"/>
          <w:szCs w:val="24"/>
        </w:rPr>
        <w:t xml:space="preserve">. </w:t>
      </w:r>
    </w:p>
    <w:p w:rsidR="003126CE" w:rsidRPr="002C13F3" w:rsidRDefault="003126CE" w:rsidP="002D11BC">
      <w:pPr>
        <w:tabs>
          <w:tab w:val="left" w:pos="709"/>
        </w:tabs>
        <w:spacing w:after="240" w:line="360" w:lineRule="auto"/>
        <w:jc w:val="both"/>
        <w:rPr>
          <w:rFonts w:ascii="Century" w:hAnsi="Century"/>
          <w:sz w:val="24"/>
          <w:szCs w:val="24"/>
        </w:rPr>
      </w:pPr>
      <w:r w:rsidRPr="002C13F3">
        <w:rPr>
          <w:rFonts w:ascii="Century" w:hAnsi="Century"/>
          <w:sz w:val="24"/>
          <w:szCs w:val="24"/>
        </w:rPr>
        <w:tab/>
      </w:r>
      <w:r w:rsidR="007949C2">
        <w:rPr>
          <w:rFonts w:ascii="Century" w:hAnsi="Century"/>
          <w:sz w:val="24"/>
          <w:szCs w:val="24"/>
        </w:rPr>
        <w:t>Respecto</w:t>
      </w:r>
      <w:r w:rsidRPr="002C13F3">
        <w:rPr>
          <w:rFonts w:ascii="Century" w:hAnsi="Century"/>
          <w:sz w:val="24"/>
          <w:szCs w:val="24"/>
        </w:rPr>
        <w:t xml:space="preserve"> a los criterios de sujeción, vemos que se diferencian tres clases de</w:t>
      </w:r>
      <w:r w:rsidR="007949C2">
        <w:rPr>
          <w:rFonts w:ascii="Century" w:hAnsi="Century"/>
          <w:sz w:val="24"/>
          <w:szCs w:val="24"/>
        </w:rPr>
        <w:t xml:space="preserve"> criterios de</w:t>
      </w:r>
      <w:r w:rsidRPr="002C13F3">
        <w:rPr>
          <w:rFonts w:ascii="Century" w:hAnsi="Century"/>
          <w:sz w:val="24"/>
          <w:szCs w:val="24"/>
        </w:rPr>
        <w:t xml:space="preserve"> naturaleza </w:t>
      </w:r>
      <w:r w:rsidR="007949C2">
        <w:rPr>
          <w:rFonts w:ascii="Century" w:hAnsi="Century"/>
          <w:sz w:val="24"/>
          <w:szCs w:val="24"/>
        </w:rPr>
        <w:t xml:space="preserve">o </w:t>
      </w:r>
      <w:r w:rsidRPr="002C13F3">
        <w:rPr>
          <w:rFonts w:ascii="Century" w:hAnsi="Century"/>
          <w:sz w:val="24"/>
          <w:szCs w:val="24"/>
        </w:rPr>
        <w:t>vinculación personal</w:t>
      </w:r>
      <w:r w:rsidRPr="00C032E6">
        <w:rPr>
          <w:rFonts w:cstheme="minorHAnsi"/>
          <w:sz w:val="24"/>
          <w:szCs w:val="24"/>
        </w:rPr>
        <w:t>:</w:t>
      </w:r>
      <w:r w:rsidRPr="002C13F3">
        <w:rPr>
          <w:rFonts w:ascii="Century" w:hAnsi="Century"/>
          <w:sz w:val="24"/>
          <w:szCs w:val="24"/>
        </w:rPr>
        <w:t xml:space="preserve"> la residencia, que es el más común</w:t>
      </w:r>
      <w:r w:rsidRPr="00EC29FC">
        <w:rPr>
          <w:rFonts w:cstheme="minorHAnsi"/>
          <w:sz w:val="24"/>
          <w:szCs w:val="24"/>
        </w:rPr>
        <w:t>;</w:t>
      </w:r>
      <w:r w:rsidRPr="002C13F3">
        <w:rPr>
          <w:rFonts w:ascii="Century" w:hAnsi="Century"/>
          <w:sz w:val="24"/>
          <w:szCs w:val="24"/>
        </w:rPr>
        <w:t xml:space="preserve"> la nacionalidad del causante o del heredero</w:t>
      </w:r>
      <w:r w:rsidRPr="00EC29FC">
        <w:rPr>
          <w:rFonts w:cstheme="minorHAnsi"/>
          <w:sz w:val="24"/>
          <w:szCs w:val="24"/>
        </w:rPr>
        <w:t>;</w:t>
      </w:r>
      <w:r w:rsidRPr="002C13F3">
        <w:rPr>
          <w:rFonts w:ascii="Century" w:hAnsi="Century"/>
          <w:sz w:val="24"/>
          <w:szCs w:val="24"/>
        </w:rPr>
        <w:t xml:space="preserve"> y</w:t>
      </w:r>
      <w:r w:rsidR="007949C2">
        <w:rPr>
          <w:rFonts w:ascii="Century" w:hAnsi="Century"/>
          <w:sz w:val="24"/>
          <w:szCs w:val="24"/>
        </w:rPr>
        <w:t>,</w:t>
      </w:r>
      <w:r w:rsidRPr="002C13F3">
        <w:rPr>
          <w:rFonts w:ascii="Century" w:hAnsi="Century"/>
          <w:sz w:val="24"/>
          <w:szCs w:val="24"/>
        </w:rPr>
        <w:t xml:space="preserve"> el domicilio. </w:t>
      </w:r>
      <w:r w:rsidR="007949C2">
        <w:rPr>
          <w:rFonts w:ascii="Century" w:hAnsi="Century"/>
          <w:sz w:val="24"/>
          <w:szCs w:val="24"/>
        </w:rPr>
        <w:t>A</w:t>
      </w:r>
      <w:r w:rsidRPr="002C13F3">
        <w:rPr>
          <w:rFonts w:ascii="Century" w:hAnsi="Century"/>
          <w:sz w:val="24"/>
          <w:szCs w:val="24"/>
        </w:rPr>
        <w:t>lgunos Estados aplican más de uno. En este sentido, la Recomendación de la Comisión de 15 de diciembre de 2011, relativa a medidas encaminadas a evitar la doble imposición en materia de sucesiones (2011/856/UE)</w:t>
      </w:r>
      <w:r w:rsidR="007949C2">
        <w:rPr>
          <w:rFonts w:ascii="Century" w:hAnsi="Century"/>
          <w:sz w:val="24"/>
          <w:szCs w:val="24"/>
        </w:rPr>
        <w:t>,</w:t>
      </w:r>
      <w:r w:rsidRPr="002C13F3">
        <w:rPr>
          <w:rFonts w:ascii="Century" w:hAnsi="Century"/>
          <w:sz w:val="24"/>
          <w:szCs w:val="24"/>
        </w:rPr>
        <w:t xml:space="preserve"> entiende </w:t>
      </w:r>
      <w:r w:rsidR="007949C2">
        <w:rPr>
          <w:rFonts w:ascii="Century" w:hAnsi="Century"/>
          <w:sz w:val="24"/>
          <w:szCs w:val="24"/>
        </w:rPr>
        <w:t>por vinculación personal</w:t>
      </w:r>
      <w:r w:rsidR="007949C2" w:rsidRPr="00C032E6">
        <w:rPr>
          <w:rFonts w:cstheme="minorHAnsi"/>
          <w:sz w:val="24"/>
          <w:szCs w:val="24"/>
        </w:rPr>
        <w:t>:</w:t>
      </w:r>
      <w:r w:rsidRPr="002C13F3">
        <w:rPr>
          <w:rFonts w:ascii="Century" w:hAnsi="Century"/>
          <w:sz w:val="24"/>
          <w:szCs w:val="24"/>
        </w:rPr>
        <w:t xml:space="preserve"> “el vínculo de un difunto o de un heredero con un Estado miembro, que puede basarse en el domicilio, la residencia, el lugar de habitación permanente, el centro de intereses vitales, la residencia habitual, la nacionalidad o la sede de dirección efectiva”. </w:t>
      </w:r>
    </w:p>
    <w:p w:rsidR="00950A0C" w:rsidRPr="002C13F3" w:rsidRDefault="003126CE" w:rsidP="002D11BC">
      <w:pPr>
        <w:tabs>
          <w:tab w:val="left" w:pos="709"/>
        </w:tabs>
        <w:spacing w:after="240" w:line="360" w:lineRule="auto"/>
        <w:jc w:val="both"/>
        <w:rPr>
          <w:rFonts w:ascii="Century" w:hAnsi="Century"/>
          <w:sz w:val="24"/>
          <w:szCs w:val="24"/>
        </w:rPr>
      </w:pPr>
      <w:r w:rsidRPr="002C13F3">
        <w:rPr>
          <w:rFonts w:ascii="Century" w:hAnsi="Century"/>
          <w:sz w:val="24"/>
          <w:szCs w:val="24"/>
        </w:rPr>
        <w:lastRenderedPageBreak/>
        <w:tab/>
        <w:t>Conforme al criterio de la residencia, se gravará</w:t>
      </w:r>
      <w:r w:rsidR="007949C2">
        <w:rPr>
          <w:rFonts w:ascii="Century" w:hAnsi="Century"/>
          <w:sz w:val="24"/>
          <w:szCs w:val="24"/>
        </w:rPr>
        <w:t>n</w:t>
      </w:r>
      <w:r w:rsidRPr="002C13F3">
        <w:rPr>
          <w:rFonts w:ascii="Century" w:hAnsi="Century"/>
          <w:sz w:val="24"/>
          <w:szCs w:val="24"/>
        </w:rPr>
        <w:t xml:space="preserve"> la</w:t>
      </w:r>
      <w:r w:rsidR="007949C2">
        <w:rPr>
          <w:rFonts w:ascii="Century" w:hAnsi="Century"/>
          <w:sz w:val="24"/>
          <w:szCs w:val="24"/>
        </w:rPr>
        <w:t>s</w:t>
      </w:r>
      <w:r w:rsidRPr="002C13F3">
        <w:rPr>
          <w:rFonts w:ascii="Century" w:hAnsi="Century"/>
          <w:sz w:val="24"/>
          <w:szCs w:val="24"/>
        </w:rPr>
        <w:t xml:space="preserve"> herencia</w:t>
      </w:r>
      <w:r w:rsidR="007949C2">
        <w:rPr>
          <w:rFonts w:ascii="Century" w:hAnsi="Century"/>
          <w:sz w:val="24"/>
          <w:szCs w:val="24"/>
        </w:rPr>
        <w:t>s o sucesiones</w:t>
      </w:r>
      <w:r w:rsidRPr="002C13F3">
        <w:rPr>
          <w:rFonts w:ascii="Century" w:hAnsi="Century"/>
          <w:sz w:val="24"/>
          <w:szCs w:val="24"/>
        </w:rPr>
        <w:t xml:space="preserve"> si el causante o los herederos son residentes del Estado en el momento del fallecimiento, siendo el número de días de estancia en un Estado el </w:t>
      </w:r>
      <w:r w:rsidR="007949C2">
        <w:rPr>
          <w:rFonts w:ascii="Century" w:hAnsi="Century"/>
          <w:sz w:val="24"/>
          <w:szCs w:val="24"/>
        </w:rPr>
        <w:t>elemento para considerar</w:t>
      </w:r>
      <w:r w:rsidRPr="002C13F3">
        <w:rPr>
          <w:rFonts w:ascii="Century" w:hAnsi="Century"/>
          <w:sz w:val="24"/>
          <w:szCs w:val="24"/>
        </w:rPr>
        <w:t xml:space="preserve"> cuál es el Estado miembro de residencia. En el caso del criterio de la nacionalidad, se atenderá a ésta cuando el causante o el heredero sea ciudadano de un Estado miembro</w:t>
      </w:r>
      <w:r w:rsidR="007949C2">
        <w:rPr>
          <w:rFonts w:ascii="Century" w:hAnsi="Century"/>
          <w:sz w:val="24"/>
          <w:szCs w:val="24"/>
        </w:rPr>
        <w:t>,</w:t>
      </w:r>
      <w:r w:rsidRPr="002C13F3">
        <w:rPr>
          <w:rFonts w:ascii="Century" w:hAnsi="Century"/>
          <w:sz w:val="24"/>
          <w:szCs w:val="24"/>
        </w:rPr>
        <w:t xml:space="preserve"> cualquiera que sea el país de residencia. Por último, una persona tiene su domicilio en el lugar donde esté situado su </w:t>
      </w:r>
      <w:r w:rsidRPr="006E21DE">
        <w:rPr>
          <w:rFonts w:ascii="Century" w:hAnsi="Century"/>
          <w:sz w:val="24"/>
          <w:szCs w:val="24"/>
        </w:rPr>
        <w:t>hogar permanente</w:t>
      </w:r>
      <w:r w:rsidR="006C02F6" w:rsidRPr="002C13F3">
        <w:rPr>
          <w:rFonts w:ascii="Century" w:hAnsi="Century"/>
          <w:sz w:val="24"/>
          <w:szCs w:val="24"/>
        </w:rPr>
        <w:t>, es decir, es la demarcación territorial donde se sitúa una persona, para el ejercicio de sus derechos y cumplimiento de sus obligaciones</w:t>
      </w:r>
      <w:r w:rsidRPr="002C13F3">
        <w:rPr>
          <w:rStyle w:val="Refdenotaalpie"/>
          <w:rFonts w:ascii="Century" w:hAnsi="Century"/>
          <w:sz w:val="24"/>
          <w:szCs w:val="24"/>
        </w:rPr>
        <w:footnoteReference w:id="31"/>
      </w:r>
      <w:r w:rsidRPr="002C13F3">
        <w:rPr>
          <w:rFonts w:ascii="Century" w:hAnsi="Century"/>
          <w:sz w:val="24"/>
          <w:szCs w:val="24"/>
        </w:rPr>
        <w:t>.</w:t>
      </w:r>
    </w:p>
    <w:p w:rsidR="003126CE" w:rsidRPr="002C13F3" w:rsidRDefault="003126CE" w:rsidP="002D11BC">
      <w:pPr>
        <w:tabs>
          <w:tab w:val="left" w:pos="709"/>
        </w:tabs>
        <w:spacing w:after="240" w:line="360" w:lineRule="auto"/>
        <w:jc w:val="both"/>
        <w:rPr>
          <w:rFonts w:ascii="Century" w:eastAsiaTheme="minorHAnsi" w:hAnsi="Century"/>
          <w:sz w:val="24"/>
          <w:szCs w:val="24"/>
          <w:lang w:eastAsia="en-US"/>
        </w:rPr>
      </w:pPr>
      <w:r w:rsidRPr="002C13F3">
        <w:rPr>
          <w:rFonts w:ascii="Century" w:hAnsi="Century"/>
          <w:sz w:val="24"/>
          <w:szCs w:val="24"/>
        </w:rPr>
        <w:tab/>
      </w:r>
      <w:r w:rsidR="007949C2">
        <w:rPr>
          <w:rFonts w:ascii="Century" w:hAnsi="Century"/>
          <w:sz w:val="24"/>
          <w:szCs w:val="24"/>
        </w:rPr>
        <w:t>De acuerdo con los datos extraídos de la tabla, podemos indicar que en</w:t>
      </w:r>
      <w:r w:rsidRPr="002C13F3">
        <w:rPr>
          <w:rFonts w:ascii="Century" w:eastAsiaTheme="minorHAnsi" w:hAnsi="Century"/>
          <w:sz w:val="24"/>
          <w:szCs w:val="24"/>
          <w:lang w:eastAsia="en-US"/>
        </w:rPr>
        <w:t xml:space="preserve"> todos los países de la UE existe un impuesto </w:t>
      </w:r>
      <w:r w:rsidR="006E21DE">
        <w:rPr>
          <w:rFonts w:ascii="Century" w:eastAsiaTheme="minorHAnsi" w:hAnsi="Century"/>
          <w:sz w:val="24"/>
          <w:szCs w:val="24"/>
          <w:lang w:eastAsia="en-US"/>
        </w:rPr>
        <w:t>sucesorio</w:t>
      </w:r>
      <w:r w:rsidRPr="002C13F3">
        <w:rPr>
          <w:rFonts w:ascii="Century" w:eastAsiaTheme="minorHAnsi" w:hAnsi="Century"/>
          <w:sz w:val="24"/>
          <w:szCs w:val="24"/>
          <w:lang w:eastAsia="en-US"/>
        </w:rPr>
        <w:t>, salvo en Austria, Chipre, Eslovaquia, Estonia, Letonia, Malta, Portugal, República Checa, Rumanía y Suecia. Haciendo referencia a algunos de estos países podemos decir</w:t>
      </w:r>
      <w:r w:rsidR="007949C2">
        <w:rPr>
          <w:rFonts w:ascii="Century" w:eastAsiaTheme="minorHAnsi" w:hAnsi="Century"/>
          <w:sz w:val="24"/>
          <w:szCs w:val="24"/>
          <w:lang w:eastAsia="en-US"/>
        </w:rPr>
        <w:t>, por ejemplo, que en Austria su</w:t>
      </w:r>
      <w:r w:rsidRPr="002C13F3">
        <w:rPr>
          <w:rFonts w:ascii="Century" w:eastAsiaTheme="minorHAnsi" w:hAnsi="Century"/>
          <w:sz w:val="24"/>
          <w:szCs w:val="24"/>
          <w:lang w:eastAsia="en-US"/>
        </w:rPr>
        <w:t xml:space="preserve"> Tribunal </w:t>
      </w:r>
      <w:r w:rsidR="009D08C0" w:rsidRPr="002C13F3">
        <w:rPr>
          <w:rFonts w:ascii="Century" w:eastAsiaTheme="minorHAnsi" w:hAnsi="Century"/>
          <w:sz w:val="24"/>
          <w:szCs w:val="24"/>
          <w:lang w:eastAsia="en-US"/>
        </w:rPr>
        <w:t>Constitucional</w:t>
      </w:r>
      <w:r w:rsidRPr="002C13F3">
        <w:rPr>
          <w:rFonts w:ascii="Century" w:eastAsiaTheme="minorHAnsi" w:hAnsi="Century"/>
          <w:sz w:val="24"/>
          <w:szCs w:val="24"/>
          <w:lang w:eastAsia="en-US"/>
        </w:rPr>
        <w:t xml:space="preserve"> suprimió las disposiciones básicas de este impuesto en julio de 2008, siendo aplicable tan</w:t>
      </w:r>
      <w:r w:rsidR="007949C2">
        <w:rPr>
          <w:rFonts w:ascii="Century" w:eastAsiaTheme="minorHAnsi" w:hAnsi="Century"/>
          <w:sz w:val="24"/>
          <w:szCs w:val="24"/>
          <w:lang w:eastAsia="en-US"/>
        </w:rPr>
        <w:t xml:space="preserve"> sólo el Impuesto sobre transmisiones </w:t>
      </w:r>
      <w:r w:rsidR="007949C2" w:rsidRPr="007949C2">
        <w:rPr>
          <w:rFonts w:ascii="Century" w:eastAsiaTheme="minorHAnsi" w:hAnsi="Century"/>
          <w:i/>
          <w:sz w:val="24"/>
          <w:szCs w:val="24"/>
          <w:lang w:eastAsia="en-US"/>
        </w:rPr>
        <w:t>mortis causa</w:t>
      </w:r>
      <w:r w:rsidRPr="002C13F3">
        <w:rPr>
          <w:rFonts w:ascii="Century" w:eastAsiaTheme="minorHAnsi" w:hAnsi="Century"/>
          <w:sz w:val="24"/>
          <w:szCs w:val="24"/>
          <w:lang w:eastAsia="en-US"/>
        </w:rPr>
        <w:t xml:space="preserve"> de tierras y contribuciones a fundaciones privadas. En Chipre, en general, los ingresos percibidos por los particulares como herencia no están sujetos a ningún tipo de imposición</w:t>
      </w:r>
      <w:r w:rsidR="007949C2">
        <w:rPr>
          <w:rFonts w:ascii="Century" w:eastAsiaTheme="minorHAnsi" w:hAnsi="Century"/>
          <w:sz w:val="24"/>
          <w:szCs w:val="24"/>
          <w:lang w:eastAsia="en-US"/>
        </w:rPr>
        <w:t xml:space="preserve"> específica, gravándose tan solo las cesiones de tierras por un impuesto puntual</w:t>
      </w:r>
      <w:r w:rsidR="00A468FC">
        <w:rPr>
          <w:rFonts w:ascii="Century" w:eastAsiaTheme="minorHAnsi" w:hAnsi="Century"/>
          <w:sz w:val="24"/>
          <w:szCs w:val="24"/>
          <w:lang w:eastAsia="en-US"/>
        </w:rPr>
        <w:t>, tal y como lo entendemos</w:t>
      </w:r>
      <w:r w:rsidRPr="002C13F3">
        <w:rPr>
          <w:rFonts w:ascii="Century" w:eastAsiaTheme="minorHAnsi" w:hAnsi="Century"/>
          <w:sz w:val="24"/>
          <w:szCs w:val="24"/>
          <w:lang w:eastAsia="en-US"/>
        </w:rPr>
        <w:t xml:space="preserve">. La ley maltesa tampoco </w:t>
      </w:r>
      <w:r w:rsidR="00A468FC">
        <w:rPr>
          <w:rFonts w:ascii="Century" w:eastAsiaTheme="minorHAnsi" w:hAnsi="Century"/>
          <w:sz w:val="24"/>
          <w:szCs w:val="24"/>
          <w:lang w:eastAsia="en-US"/>
        </w:rPr>
        <w:t>regula</w:t>
      </w:r>
      <w:r w:rsidRPr="002C13F3">
        <w:rPr>
          <w:rFonts w:ascii="Century" w:eastAsiaTheme="minorHAnsi" w:hAnsi="Century"/>
          <w:sz w:val="24"/>
          <w:szCs w:val="24"/>
          <w:lang w:eastAsia="en-US"/>
        </w:rPr>
        <w:t xml:space="preserve"> un impuesto </w:t>
      </w:r>
      <w:r w:rsidR="007949C2">
        <w:rPr>
          <w:rFonts w:ascii="Century" w:eastAsiaTheme="minorHAnsi" w:hAnsi="Century"/>
          <w:sz w:val="24"/>
          <w:szCs w:val="24"/>
          <w:lang w:eastAsia="en-US"/>
        </w:rPr>
        <w:t xml:space="preserve">general </w:t>
      </w:r>
      <w:r w:rsidR="00A468FC">
        <w:rPr>
          <w:rFonts w:ascii="Century" w:eastAsiaTheme="minorHAnsi" w:hAnsi="Century"/>
          <w:sz w:val="24"/>
          <w:szCs w:val="24"/>
          <w:lang w:eastAsia="en-US"/>
        </w:rPr>
        <w:t>sobre las herencias,</w:t>
      </w:r>
      <w:r w:rsidRPr="002C13F3">
        <w:rPr>
          <w:rFonts w:ascii="Century" w:eastAsiaTheme="minorHAnsi" w:hAnsi="Century"/>
          <w:sz w:val="24"/>
          <w:szCs w:val="24"/>
          <w:lang w:eastAsia="en-US"/>
        </w:rPr>
        <w:t xml:space="preserve"> gra</w:t>
      </w:r>
      <w:r w:rsidR="00915DCF">
        <w:rPr>
          <w:rFonts w:ascii="Century" w:eastAsiaTheme="minorHAnsi" w:hAnsi="Century"/>
          <w:sz w:val="24"/>
          <w:szCs w:val="24"/>
          <w:lang w:eastAsia="en-US"/>
        </w:rPr>
        <w:t xml:space="preserve">vándose las </w:t>
      </w:r>
      <w:r w:rsidR="007164CC">
        <w:rPr>
          <w:rFonts w:ascii="Century" w:eastAsiaTheme="minorHAnsi" w:hAnsi="Century"/>
          <w:sz w:val="24"/>
          <w:szCs w:val="24"/>
          <w:lang w:eastAsia="en-US"/>
        </w:rPr>
        <w:t>sucesione</w:t>
      </w:r>
      <w:r w:rsidR="006E21DE">
        <w:rPr>
          <w:rFonts w:ascii="Century" w:eastAsiaTheme="minorHAnsi" w:hAnsi="Century"/>
          <w:sz w:val="24"/>
          <w:szCs w:val="24"/>
          <w:lang w:eastAsia="en-US"/>
        </w:rPr>
        <w:t xml:space="preserve">s </w:t>
      </w:r>
      <w:r w:rsidR="00A468FC">
        <w:rPr>
          <w:rFonts w:ascii="Century" w:eastAsiaTheme="minorHAnsi" w:hAnsi="Century"/>
          <w:sz w:val="24"/>
          <w:szCs w:val="24"/>
          <w:lang w:eastAsia="en-US"/>
        </w:rPr>
        <w:t>por un i</w:t>
      </w:r>
      <w:r w:rsidRPr="002C13F3">
        <w:rPr>
          <w:rFonts w:ascii="Century" w:eastAsiaTheme="minorHAnsi" w:hAnsi="Century"/>
          <w:sz w:val="24"/>
          <w:szCs w:val="24"/>
          <w:lang w:eastAsia="en-US"/>
        </w:rPr>
        <w:t>mpuesto sobre los documentos y las transferencias. La legislación sueca sobre las herencias</w:t>
      </w:r>
      <w:r w:rsidR="00A468FC">
        <w:rPr>
          <w:rFonts w:ascii="Century" w:eastAsiaTheme="minorHAnsi" w:hAnsi="Century"/>
          <w:sz w:val="24"/>
          <w:szCs w:val="24"/>
          <w:lang w:eastAsia="en-US"/>
        </w:rPr>
        <w:t>, por su parte,</w:t>
      </w:r>
      <w:r w:rsidRPr="002C13F3">
        <w:rPr>
          <w:rFonts w:ascii="Century" w:eastAsiaTheme="minorHAnsi" w:hAnsi="Century"/>
          <w:sz w:val="24"/>
          <w:szCs w:val="24"/>
          <w:lang w:eastAsia="en-US"/>
        </w:rPr>
        <w:t xml:space="preserve"> se suprimió en 2004, por lo que las adquisiciones de bienes </w:t>
      </w:r>
      <w:r w:rsidR="00A468FC">
        <w:rPr>
          <w:rFonts w:ascii="Century" w:eastAsiaTheme="minorHAnsi" w:hAnsi="Century"/>
          <w:sz w:val="24"/>
          <w:szCs w:val="24"/>
          <w:lang w:eastAsia="en-US"/>
        </w:rPr>
        <w:t xml:space="preserve">derivadas de </w:t>
      </w:r>
      <w:r w:rsidRPr="002C13F3">
        <w:rPr>
          <w:rFonts w:ascii="Century" w:eastAsiaTheme="minorHAnsi" w:hAnsi="Century"/>
          <w:sz w:val="24"/>
          <w:szCs w:val="24"/>
          <w:lang w:eastAsia="en-US"/>
        </w:rPr>
        <w:t xml:space="preserve">fallecimientos ocurridos </w:t>
      </w:r>
      <w:r w:rsidR="007164CC">
        <w:rPr>
          <w:rFonts w:ascii="Century" w:eastAsiaTheme="minorHAnsi" w:hAnsi="Century"/>
          <w:sz w:val="24"/>
          <w:szCs w:val="24"/>
          <w:lang w:eastAsia="en-US"/>
        </w:rPr>
        <w:t>después de</w:t>
      </w:r>
      <w:r w:rsidR="00A468FC">
        <w:rPr>
          <w:rFonts w:ascii="Century" w:eastAsiaTheme="minorHAnsi" w:hAnsi="Century"/>
          <w:sz w:val="24"/>
          <w:szCs w:val="24"/>
          <w:lang w:eastAsia="en-US"/>
        </w:rPr>
        <w:t xml:space="preserve">l </w:t>
      </w:r>
      <w:r w:rsidRPr="002C13F3">
        <w:rPr>
          <w:rFonts w:ascii="Century" w:eastAsiaTheme="minorHAnsi" w:hAnsi="Century"/>
          <w:sz w:val="24"/>
          <w:szCs w:val="24"/>
          <w:lang w:eastAsia="en-US"/>
        </w:rPr>
        <w:t xml:space="preserve">17 de diciembre de 2004 no están sujetas al impuesto, sino al denominado Impuesto sobre la renta y sobre las plusvalías, como también ocurre en Estonia. En Portugal, se produjo una reforma tributaria, en la que a partir de enero de 2004, ya no existiría el impuesto, pasando las sucesiones a </w:t>
      </w:r>
      <w:r w:rsidRPr="002C13F3">
        <w:rPr>
          <w:rFonts w:ascii="Century" w:eastAsiaTheme="minorHAnsi" w:hAnsi="Century"/>
          <w:sz w:val="24"/>
          <w:szCs w:val="24"/>
          <w:lang w:eastAsia="en-US"/>
        </w:rPr>
        <w:lastRenderedPageBreak/>
        <w:t>gravarse</w:t>
      </w:r>
      <w:r w:rsidR="00A468FC">
        <w:rPr>
          <w:rFonts w:ascii="Century" w:eastAsiaTheme="minorHAnsi" w:hAnsi="Century"/>
          <w:sz w:val="24"/>
          <w:szCs w:val="24"/>
          <w:lang w:eastAsia="en-US"/>
        </w:rPr>
        <w:t xml:space="preserve">, tan solo, </w:t>
      </w:r>
      <w:r w:rsidRPr="002C13F3">
        <w:rPr>
          <w:rFonts w:ascii="Century" w:eastAsiaTheme="minorHAnsi" w:hAnsi="Century"/>
          <w:sz w:val="24"/>
          <w:szCs w:val="24"/>
          <w:lang w:eastAsia="en-US"/>
        </w:rPr>
        <w:t>por el llamado Impuesto de Timbre</w:t>
      </w:r>
      <w:r w:rsidR="00ED478C" w:rsidRPr="002C13F3">
        <w:rPr>
          <w:rFonts w:ascii="Century" w:eastAsiaTheme="minorHAnsi" w:hAnsi="Century"/>
          <w:sz w:val="24"/>
          <w:szCs w:val="24"/>
          <w:lang w:eastAsia="en-US"/>
        </w:rPr>
        <w:t xml:space="preserve">. </w:t>
      </w:r>
      <w:r w:rsidR="00A468FC">
        <w:rPr>
          <w:rFonts w:ascii="Century" w:eastAsiaTheme="minorHAnsi" w:hAnsi="Century"/>
          <w:sz w:val="24"/>
          <w:szCs w:val="24"/>
          <w:lang w:eastAsia="en-US"/>
        </w:rPr>
        <w:t>Finalmente, e</w:t>
      </w:r>
      <w:r w:rsidRPr="002C13F3">
        <w:rPr>
          <w:rFonts w:ascii="Century" w:eastAsiaTheme="minorHAnsi" w:hAnsi="Century"/>
          <w:sz w:val="24"/>
          <w:szCs w:val="24"/>
          <w:lang w:eastAsia="en-US"/>
        </w:rPr>
        <w:t>l impuesto sobre las herencias en la República Checa existió hasta diciembre de 2013, incorporándose posteriormente al Impuesto sobre la renta</w:t>
      </w:r>
      <w:r w:rsidRPr="002C13F3">
        <w:rPr>
          <w:rStyle w:val="Refdenotaalpie"/>
          <w:rFonts w:ascii="Century" w:eastAsiaTheme="minorHAnsi" w:hAnsi="Century"/>
          <w:sz w:val="24"/>
          <w:szCs w:val="24"/>
          <w:lang w:eastAsia="en-US"/>
        </w:rPr>
        <w:footnoteReference w:id="32"/>
      </w:r>
      <w:r w:rsidRPr="002C13F3">
        <w:rPr>
          <w:rFonts w:ascii="Century" w:eastAsiaTheme="minorHAnsi" w:hAnsi="Century"/>
          <w:sz w:val="24"/>
          <w:szCs w:val="24"/>
          <w:lang w:eastAsia="en-US"/>
        </w:rPr>
        <w:t xml:space="preserve">. </w:t>
      </w:r>
    </w:p>
    <w:p w:rsidR="00FA3EF9" w:rsidRDefault="003126CE" w:rsidP="00AB0AFD">
      <w:pPr>
        <w:pStyle w:val="HTMLconformatoprevio"/>
        <w:spacing w:after="240" w:line="360" w:lineRule="auto"/>
        <w:jc w:val="both"/>
        <w:rPr>
          <w:rFonts w:ascii="Century" w:hAnsi="Century"/>
          <w:sz w:val="24"/>
          <w:szCs w:val="24"/>
        </w:rPr>
      </w:pPr>
      <w:r w:rsidRPr="002C13F3">
        <w:rPr>
          <w:rFonts w:ascii="Century" w:hAnsi="Century"/>
          <w:sz w:val="24"/>
          <w:szCs w:val="24"/>
        </w:rPr>
        <w:tab/>
      </w:r>
      <w:r w:rsidR="00A468FC">
        <w:rPr>
          <w:rFonts w:ascii="Century" w:hAnsi="Century"/>
          <w:sz w:val="24"/>
          <w:szCs w:val="24"/>
        </w:rPr>
        <w:t>Respecto al resto de EM que sí regulan un impuesto general sobre las sucesiones, podemos referir las siguientes cuestiones</w:t>
      </w:r>
      <w:r w:rsidRPr="002C13F3">
        <w:rPr>
          <w:rFonts w:ascii="Century" w:hAnsi="Century"/>
          <w:sz w:val="24"/>
          <w:szCs w:val="24"/>
        </w:rPr>
        <w:t xml:space="preserve">. En Alemania, </w:t>
      </w:r>
      <w:r w:rsidR="00A468FC">
        <w:rPr>
          <w:rFonts w:ascii="Century" w:hAnsi="Century"/>
          <w:sz w:val="24"/>
          <w:szCs w:val="24"/>
        </w:rPr>
        <w:t>se gravan</w:t>
      </w:r>
      <w:r w:rsidRPr="002C13F3">
        <w:rPr>
          <w:rFonts w:ascii="Century" w:hAnsi="Century"/>
          <w:sz w:val="24"/>
          <w:szCs w:val="24"/>
        </w:rPr>
        <w:t xml:space="preserve"> las herencias a través del I</w:t>
      </w:r>
      <w:r w:rsidR="004B017E">
        <w:rPr>
          <w:rFonts w:ascii="Century" w:hAnsi="Century"/>
          <w:sz w:val="24"/>
          <w:szCs w:val="24"/>
        </w:rPr>
        <w:t>SUC</w:t>
      </w:r>
      <w:r w:rsidR="00A468FC">
        <w:rPr>
          <w:rFonts w:ascii="Century" w:hAnsi="Century"/>
          <w:sz w:val="24"/>
          <w:szCs w:val="24"/>
        </w:rPr>
        <w:t>,</w:t>
      </w:r>
      <w:r w:rsidRPr="002C13F3">
        <w:rPr>
          <w:rFonts w:ascii="Century" w:hAnsi="Century"/>
          <w:sz w:val="24"/>
          <w:szCs w:val="24"/>
        </w:rPr>
        <w:t xml:space="preserve"> un impuesto federal cuyos ingresos fiscales se asignan a l</w:t>
      </w:r>
      <w:r w:rsidR="00A468FC">
        <w:rPr>
          <w:rFonts w:ascii="Century" w:hAnsi="Century"/>
          <w:sz w:val="24"/>
          <w:szCs w:val="24"/>
        </w:rPr>
        <w:t>os diferentes estados federales</w:t>
      </w:r>
      <w:r w:rsidR="00ED478C" w:rsidRPr="002C13F3">
        <w:rPr>
          <w:rFonts w:ascii="Century" w:hAnsi="Century"/>
          <w:sz w:val="24"/>
          <w:szCs w:val="24"/>
        </w:rPr>
        <w:t>. Con respecto a su criterio de sujeción, rige</w:t>
      </w:r>
      <w:r w:rsidR="00A468FC">
        <w:rPr>
          <w:rFonts w:ascii="Century" w:hAnsi="Century"/>
          <w:sz w:val="24"/>
          <w:szCs w:val="24"/>
        </w:rPr>
        <w:t xml:space="preserve"> el principio de residencia considerándose por regla general la</w:t>
      </w:r>
      <w:r w:rsidR="00ED478C" w:rsidRPr="002C13F3">
        <w:rPr>
          <w:rFonts w:ascii="Century" w:hAnsi="Century"/>
          <w:sz w:val="24"/>
          <w:szCs w:val="24"/>
        </w:rPr>
        <w:t xml:space="preserve"> residencia cuando la </w:t>
      </w:r>
      <w:r w:rsidR="00A468FC">
        <w:rPr>
          <w:rFonts w:ascii="Century" w:hAnsi="Century"/>
          <w:sz w:val="24"/>
          <w:szCs w:val="24"/>
        </w:rPr>
        <w:t>permanencia</w:t>
      </w:r>
      <w:r w:rsidR="00ED478C" w:rsidRPr="002C13F3">
        <w:rPr>
          <w:rFonts w:ascii="Century" w:hAnsi="Century"/>
          <w:sz w:val="24"/>
          <w:szCs w:val="24"/>
        </w:rPr>
        <w:t xml:space="preserve"> de la persona en Alemania excede de seis meses. Por otro lado, un no residente tendrá la condición de residente a efectos fiscales si ha residido en Alemania en cualquier momento dentro de los últimos cinco años antes del fallecimiento</w:t>
      </w:r>
      <w:r w:rsidRPr="002C13F3">
        <w:rPr>
          <w:rStyle w:val="Refdenotaalpie"/>
          <w:rFonts w:ascii="Century" w:hAnsi="Century"/>
          <w:sz w:val="24"/>
          <w:szCs w:val="24"/>
        </w:rPr>
        <w:footnoteReference w:id="33"/>
      </w:r>
      <w:r w:rsidR="00A468FC">
        <w:rPr>
          <w:rFonts w:ascii="Century" w:hAnsi="Century"/>
          <w:sz w:val="24"/>
          <w:szCs w:val="24"/>
        </w:rPr>
        <w:t xml:space="preserve">. </w:t>
      </w:r>
      <w:r w:rsidRPr="002C13F3">
        <w:rPr>
          <w:rFonts w:ascii="Century" w:hAnsi="Century"/>
          <w:sz w:val="24"/>
          <w:szCs w:val="24"/>
        </w:rPr>
        <w:t>Los</w:t>
      </w:r>
      <w:r w:rsidR="00A468FC">
        <w:rPr>
          <w:rFonts w:ascii="Century" w:hAnsi="Century"/>
          <w:sz w:val="24"/>
          <w:szCs w:val="24"/>
        </w:rPr>
        <w:t xml:space="preserve"> r</w:t>
      </w:r>
      <w:r w:rsidRPr="002C13F3">
        <w:rPr>
          <w:rFonts w:ascii="Century" w:hAnsi="Century"/>
          <w:sz w:val="24"/>
          <w:szCs w:val="24"/>
        </w:rPr>
        <w:t xml:space="preserve">esidentes tributan sobre la totalidad de los bienes del sujeto pasivo, </w:t>
      </w:r>
      <w:r w:rsidR="00F62E72">
        <w:rPr>
          <w:rFonts w:ascii="Century" w:hAnsi="Century"/>
          <w:sz w:val="24"/>
          <w:szCs w:val="24"/>
        </w:rPr>
        <w:t>independientemente</w:t>
      </w:r>
      <w:r w:rsidR="007164CC">
        <w:rPr>
          <w:rFonts w:ascii="Century" w:hAnsi="Century"/>
          <w:sz w:val="24"/>
          <w:szCs w:val="24"/>
        </w:rPr>
        <w:t xml:space="preserve"> </w:t>
      </w:r>
      <w:r w:rsidRPr="002C13F3">
        <w:rPr>
          <w:rFonts w:ascii="Century" w:hAnsi="Century"/>
          <w:sz w:val="24"/>
          <w:szCs w:val="24"/>
        </w:rPr>
        <w:t xml:space="preserve">de donde estén situados, mientras que los no residentes tributan </w:t>
      </w:r>
      <w:r w:rsidR="007164CC">
        <w:rPr>
          <w:rFonts w:ascii="Century" w:hAnsi="Century"/>
          <w:sz w:val="24"/>
          <w:szCs w:val="24"/>
        </w:rPr>
        <w:t>sólo</w:t>
      </w:r>
      <w:r w:rsidRPr="002C13F3">
        <w:rPr>
          <w:rFonts w:ascii="Century" w:hAnsi="Century"/>
          <w:sz w:val="24"/>
          <w:szCs w:val="24"/>
        </w:rPr>
        <w:t xml:space="preserve"> por los bienes situados en Alemania. Para el cónyuge, descendientes y ascendientes, el tipo de gravamen oscilar</w:t>
      </w:r>
      <w:r w:rsidR="00250F57" w:rsidRPr="002C13F3">
        <w:rPr>
          <w:rFonts w:ascii="Century" w:hAnsi="Century"/>
          <w:sz w:val="24"/>
          <w:szCs w:val="24"/>
        </w:rPr>
        <w:t xml:space="preserve">á entre el 7 al 30 por ciento. </w:t>
      </w:r>
      <w:r w:rsidR="00A468FC">
        <w:rPr>
          <w:rFonts w:ascii="Century" w:hAnsi="Century"/>
          <w:sz w:val="24"/>
          <w:szCs w:val="24"/>
        </w:rPr>
        <w:t>La normativa</w:t>
      </w:r>
      <w:r w:rsidR="00F62E72">
        <w:rPr>
          <w:rFonts w:ascii="Century" w:hAnsi="Century"/>
          <w:sz w:val="24"/>
          <w:szCs w:val="24"/>
        </w:rPr>
        <w:t xml:space="preserve"> alemana</w:t>
      </w:r>
      <w:r w:rsidR="00A468FC">
        <w:rPr>
          <w:rFonts w:ascii="Century" w:hAnsi="Century"/>
          <w:sz w:val="24"/>
          <w:szCs w:val="24"/>
        </w:rPr>
        <w:t xml:space="preserve"> del impuesto establece además</w:t>
      </w:r>
      <w:r w:rsidRPr="002C13F3">
        <w:rPr>
          <w:rFonts w:ascii="Century" w:hAnsi="Century"/>
          <w:sz w:val="24"/>
          <w:szCs w:val="24"/>
        </w:rPr>
        <w:t xml:space="preserve"> una serie de beneficios fiscales al cónyuge, descendientes y ascendientes,</w:t>
      </w:r>
      <w:r w:rsidR="007D068B">
        <w:rPr>
          <w:rFonts w:ascii="Century" w:hAnsi="Century"/>
          <w:sz w:val="24"/>
          <w:szCs w:val="24"/>
        </w:rPr>
        <w:t xml:space="preserve"> y así encontramos, entre otros, los relacionados con</w:t>
      </w:r>
      <w:r w:rsidR="000E688B" w:rsidRPr="000E688B">
        <w:rPr>
          <w:rFonts w:asciiTheme="minorHAnsi" w:hAnsiTheme="minorHAnsi" w:cstheme="minorHAnsi"/>
          <w:sz w:val="24"/>
          <w:szCs w:val="24"/>
        </w:rPr>
        <w:t>:</w:t>
      </w:r>
      <w:r w:rsidRPr="002C13F3">
        <w:rPr>
          <w:rFonts w:ascii="Century" w:hAnsi="Century"/>
          <w:sz w:val="24"/>
          <w:szCs w:val="24"/>
        </w:rPr>
        <w:t xml:space="preserve"> los efectos personales hasta un valor de 41.000 euros</w:t>
      </w:r>
      <w:r w:rsidR="000E688B">
        <w:rPr>
          <w:rFonts w:ascii="Century" w:hAnsi="Century"/>
          <w:sz w:val="24"/>
          <w:szCs w:val="24"/>
        </w:rPr>
        <w:t>,</w:t>
      </w:r>
      <w:r w:rsidRPr="002C13F3">
        <w:rPr>
          <w:rFonts w:ascii="Century" w:hAnsi="Century"/>
          <w:sz w:val="24"/>
          <w:szCs w:val="24"/>
        </w:rPr>
        <w:t xml:space="preserve"> el hogar familiar siempre que el heredero lo </w:t>
      </w:r>
      <w:r w:rsidR="00C07C4E" w:rsidRPr="002C13F3">
        <w:rPr>
          <w:rFonts w:ascii="Century" w:hAnsi="Century"/>
          <w:sz w:val="24"/>
          <w:szCs w:val="24"/>
        </w:rPr>
        <w:t>utilice durante un período de diez</w:t>
      </w:r>
      <w:r w:rsidR="000E688B">
        <w:rPr>
          <w:rFonts w:ascii="Century" w:hAnsi="Century"/>
          <w:sz w:val="24"/>
          <w:szCs w:val="24"/>
        </w:rPr>
        <w:t xml:space="preserve"> años, o los </w:t>
      </w:r>
      <w:r w:rsidRPr="002C13F3">
        <w:rPr>
          <w:rFonts w:ascii="Century" w:hAnsi="Century"/>
          <w:sz w:val="24"/>
          <w:szCs w:val="24"/>
        </w:rPr>
        <w:t xml:space="preserve">bienes inmuebles, artículos de arte, colecciones de arte y objetos científicos, archivos o bibliotecas, si existe interés público en preservar tales artículos por su importancia para el arte, la historia o la ciencia. </w:t>
      </w:r>
    </w:p>
    <w:p w:rsidR="003126CE" w:rsidRPr="002C13F3" w:rsidRDefault="003126CE" w:rsidP="00FA3EF9">
      <w:pPr>
        <w:pStyle w:val="HTMLconformatoprevio"/>
        <w:spacing w:after="240" w:line="360" w:lineRule="auto"/>
        <w:jc w:val="both"/>
        <w:rPr>
          <w:rFonts w:ascii="Century" w:hAnsi="Century"/>
          <w:sz w:val="24"/>
          <w:szCs w:val="24"/>
        </w:rPr>
      </w:pPr>
      <w:r w:rsidRPr="002C13F3">
        <w:rPr>
          <w:rFonts w:ascii="Century" w:hAnsi="Century"/>
          <w:sz w:val="24"/>
          <w:szCs w:val="24"/>
        </w:rPr>
        <w:lastRenderedPageBreak/>
        <w:tab/>
        <w:t>En Bélgica, las herencias están sujetas a dos tipos de gravámenes</w:t>
      </w:r>
      <w:r w:rsidRPr="00514069">
        <w:rPr>
          <w:rFonts w:cstheme="minorHAnsi"/>
          <w:sz w:val="24"/>
          <w:szCs w:val="24"/>
        </w:rPr>
        <w:t>:</w:t>
      </w:r>
      <w:r w:rsidR="004B017E">
        <w:rPr>
          <w:rFonts w:ascii="Century" w:hAnsi="Century"/>
          <w:sz w:val="24"/>
          <w:szCs w:val="24"/>
        </w:rPr>
        <w:t xml:space="preserve"> el ISUC</w:t>
      </w:r>
      <w:r w:rsidRPr="002C13F3">
        <w:rPr>
          <w:rFonts w:ascii="Century" w:hAnsi="Century"/>
          <w:sz w:val="24"/>
          <w:szCs w:val="24"/>
        </w:rPr>
        <w:t xml:space="preserve"> y el Impuesto de transferencias. El primero se aplica a una herencia recibida de un residente belga. El segundo</w:t>
      </w:r>
      <w:r w:rsidR="000E688B">
        <w:rPr>
          <w:rFonts w:ascii="Century" w:hAnsi="Century"/>
          <w:sz w:val="24"/>
          <w:szCs w:val="24"/>
        </w:rPr>
        <w:t>,</w:t>
      </w:r>
      <w:r w:rsidRPr="002C13F3">
        <w:rPr>
          <w:rFonts w:ascii="Century" w:hAnsi="Century"/>
          <w:sz w:val="24"/>
          <w:szCs w:val="24"/>
        </w:rPr>
        <w:t xml:space="preserve"> se aplica a la transferencia de bienes inmuebles</w:t>
      </w:r>
      <w:r w:rsidR="00977700" w:rsidRPr="00977700">
        <w:rPr>
          <w:rFonts w:ascii="Century" w:hAnsi="Century"/>
          <w:sz w:val="24"/>
          <w:szCs w:val="24"/>
        </w:rPr>
        <w:t xml:space="preserve"> </w:t>
      </w:r>
      <w:r w:rsidR="00977700" w:rsidRPr="002C13F3">
        <w:rPr>
          <w:rFonts w:ascii="Century" w:hAnsi="Century"/>
          <w:sz w:val="24"/>
          <w:szCs w:val="24"/>
        </w:rPr>
        <w:t>del causante</w:t>
      </w:r>
      <w:r w:rsidR="00977700">
        <w:rPr>
          <w:rFonts w:ascii="Century" w:hAnsi="Century"/>
          <w:sz w:val="24"/>
          <w:szCs w:val="24"/>
        </w:rPr>
        <w:t>,</w:t>
      </w:r>
      <w:r w:rsidRPr="002C13F3">
        <w:rPr>
          <w:rFonts w:ascii="Century" w:hAnsi="Century"/>
          <w:sz w:val="24"/>
          <w:szCs w:val="24"/>
        </w:rPr>
        <w:t xml:space="preserve"> </w:t>
      </w:r>
      <w:r w:rsidR="000E688B">
        <w:rPr>
          <w:rFonts w:ascii="Century" w:hAnsi="Century"/>
          <w:sz w:val="24"/>
          <w:szCs w:val="24"/>
        </w:rPr>
        <w:t>situados en este país</w:t>
      </w:r>
      <w:r w:rsidR="00977700">
        <w:rPr>
          <w:rFonts w:ascii="Century" w:hAnsi="Century"/>
          <w:sz w:val="24"/>
          <w:szCs w:val="24"/>
        </w:rPr>
        <w:t>,</w:t>
      </w:r>
      <w:r w:rsidRPr="002C13F3">
        <w:rPr>
          <w:rFonts w:ascii="Century" w:hAnsi="Century"/>
          <w:sz w:val="24"/>
          <w:szCs w:val="24"/>
        </w:rPr>
        <w:t xml:space="preserve"> después de su muerte, </w:t>
      </w:r>
      <w:r w:rsidR="000E688B">
        <w:rPr>
          <w:rFonts w:ascii="Century" w:hAnsi="Century"/>
          <w:sz w:val="24"/>
          <w:szCs w:val="24"/>
        </w:rPr>
        <w:t>cuando el mismo era residente en</w:t>
      </w:r>
      <w:r w:rsidRPr="002C13F3">
        <w:rPr>
          <w:rFonts w:ascii="Century" w:hAnsi="Century"/>
          <w:sz w:val="24"/>
          <w:szCs w:val="24"/>
        </w:rPr>
        <w:t xml:space="preserve"> Bélgica. Este impuesto </w:t>
      </w:r>
      <w:r w:rsidR="005205A2">
        <w:rPr>
          <w:rFonts w:ascii="Century" w:hAnsi="Century"/>
          <w:sz w:val="24"/>
          <w:szCs w:val="24"/>
        </w:rPr>
        <w:t>sólo</w:t>
      </w:r>
      <w:r w:rsidRPr="002C13F3">
        <w:rPr>
          <w:rFonts w:ascii="Century" w:hAnsi="Century"/>
          <w:sz w:val="24"/>
          <w:szCs w:val="24"/>
        </w:rPr>
        <w:t xml:space="preserve"> se aplica a los bienes inmuebles</w:t>
      </w:r>
      <w:r w:rsidR="006773CA">
        <w:rPr>
          <w:rFonts w:ascii="Century" w:hAnsi="Century"/>
          <w:sz w:val="24"/>
          <w:szCs w:val="24"/>
        </w:rPr>
        <w:t xml:space="preserve"> situados en este Estado</w:t>
      </w:r>
      <w:r w:rsidRPr="002C13F3">
        <w:rPr>
          <w:rFonts w:ascii="Century" w:hAnsi="Century"/>
          <w:sz w:val="24"/>
          <w:szCs w:val="24"/>
        </w:rPr>
        <w:t xml:space="preserve">. Según la legislación belga, </w:t>
      </w:r>
      <w:r w:rsidR="000E688B">
        <w:rPr>
          <w:rFonts w:ascii="Century" w:hAnsi="Century"/>
          <w:sz w:val="24"/>
          <w:szCs w:val="24"/>
        </w:rPr>
        <w:t>la delimitación de la residencia</w:t>
      </w:r>
      <w:r w:rsidRPr="002C13F3">
        <w:rPr>
          <w:rFonts w:ascii="Century" w:hAnsi="Century"/>
          <w:sz w:val="24"/>
          <w:szCs w:val="24"/>
        </w:rPr>
        <w:t xml:space="preserve"> es un asunto que requiere</w:t>
      </w:r>
      <w:r w:rsidR="000E688B">
        <w:rPr>
          <w:rFonts w:ascii="Century" w:hAnsi="Century"/>
          <w:sz w:val="24"/>
          <w:szCs w:val="24"/>
        </w:rPr>
        <w:t xml:space="preserve"> de</w:t>
      </w:r>
      <w:r w:rsidRPr="002C13F3">
        <w:rPr>
          <w:rFonts w:ascii="Century" w:hAnsi="Century"/>
          <w:sz w:val="24"/>
          <w:szCs w:val="24"/>
        </w:rPr>
        <w:t xml:space="preserve"> una evaluación detallada </w:t>
      </w:r>
      <w:r w:rsidR="000E688B">
        <w:rPr>
          <w:rFonts w:ascii="Century" w:hAnsi="Century"/>
          <w:sz w:val="24"/>
          <w:szCs w:val="24"/>
        </w:rPr>
        <w:t>caso a</w:t>
      </w:r>
      <w:r w:rsidR="004B017E">
        <w:rPr>
          <w:rFonts w:ascii="Century" w:hAnsi="Century"/>
          <w:sz w:val="24"/>
          <w:szCs w:val="24"/>
        </w:rPr>
        <w:t xml:space="preserve"> caso. El ISUC</w:t>
      </w:r>
      <w:r w:rsidRPr="002C13F3">
        <w:rPr>
          <w:rFonts w:ascii="Century" w:hAnsi="Century"/>
          <w:sz w:val="24"/>
          <w:szCs w:val="24"/>
        </w:rPr>
        <w:t xml:space="preserve"> se aplica a los bienes mundiales del causante si éste era residente belga en el momento de su muerte. El fallecido era residente si tenía su residencia efectiva en este territorio </w:t>
      </w:r>
      <w:r w:rsidR="005205A2">
        <w:rPr>
          <w:rFonts w:ascii="Century" w:hAnsi="Century"/>
          <w:sz w:val="24"/>
          <w:szCs w:val="24"/>
        </w:rPr>
        <w:t xml:space="preserve">justo </w:t>
      </w:r>
      <w:r w:rsidR="00C07C4E" w:rsidRPr="002C13F3">
        <w:rPr>
          <w:rFonts w:ascii="Century" w:hAnsi="Century"/>
          <w:sz w:val="24"/>
          <w:szCs w:val="24"/>
        </w:rPr>
        <w:t xml:space="preserve">antes de su </w:t>
      </w:r>
      <w:r w:rsidR="00E82840">
        <w:rPr>
          <w:rFonts w:ascii="Century" w:hAnsi="Century"/>
          <w:sz w:val="24"/>
          <w:szCs w:val="24"/>
        </w:rPr>
        <w:t>muerte</w:t>
      </w:r>
      <w:r w:rsidRPr="002C13F3">
        <w:rPr>
          <w:rFonts w:ascii="Century" w:hAnsi="Century"/>
          <w:sz w:val="24"/>
          <w:szCs w:val="24"/>
        </w:rPr>
        <w:t>. Dado que el Estado belga se divide en tres regiones</w:t>
      </w:r>
      <w:r w:rsidRPr="00514069">
        <w:rPr>
          <w:rFonts w:cstheme="minorHAnsi"/>
          <w:sz w:val="24"/>
          <w:szCs w:val="24"/>
        </w:rPr>
        <w:t>:</w:t>
      </w:r>
      <w:r w:rsidRPr="002C13F3">
        <w:rPr>
          <w:rFonts w:ascii="Century" w:hAnsi="Century"/>
          <w:sz w:val="24"/>
          <w:szCs w:val="24"/>
        </w:rPr>
        <w:t xml:space="preserve"> Región de Bruselas capital, Región Valona y Región de Flandes, los tipos impositivos aplicables dependen de la región, el tipo de beneficiario y la base imponible. En los dos primeros casos, </w:t>
      </w:r>
      <w:r w:rsidR="00710F69">
        <w:rPr>
          <w:rFonts w:ascii="Century" w:hAnsi="Century"/>
          <w:sz w:val="24"/>
          <w:szCs w:val="24"/>
        </w:rPr>
        <w:t>para el cónyuge, descendientes o</w:t>
      </w:r>
      <w:r w:rsidRPr="002C13F3">
        <w:rPr>
          <w:rFonts w:ascii="Century" w:hAnsi="Century"/>
          <w:sz w:val="24"/>
          <w:szCs w:val="24"/>
        </w:rPr>
        <w:t xml:space="preserve"> ascendientes, el tipo de gravamen varía entre el 3 al 30 por ciento. En el último caso, las herencias para estos beneficiarios se gravan entre el 3 y el 27 por ciento. Estos tipos de gravamen son similares en el Impuesto de transferencia. </w:t>
      </w:r>
    </w:p>
    <w:p w:rsidR="00977700" w:rsidRPr="002C13F3" w:rsidRDefault="003126CE" w:rsidP="002D11BC">
      <w:pPr>
        <w:pStyle w:val="HTMLconformatoprevio"/>
        <w:spacing w:after="240" w:line="360" w:lineRule="auto"/>
        <w:jc w:val="both"/>
        <w:rPr>
          <w:rFonts w:ascii="Century" w:hAnsi="Century"/>
          <w:sz w:val="24"/>
          <w:szCs w:val="24"/>
        </w:rPr>
      </w:pPr>
      <w:r w:rsidRPr="002C13F3">
        <w:rPr>
          <w:rFonts w:ascii="Century" w:hAnsi="Century"/>
          <w:sz w:val="24"/>
          <w:szCs w:val="24"/>
        </w:rPr>
        <w:tab/>
      </w:r>
      <w:r w:rsidR="000E688B">
        <w:rPr>
          <w:rFonts w:ascii="Century" w:hAnsi="Century"/>
          <w:sz w:val="24"/>
          <w:szCs w:val="24"/>
        </w:rPr>
        <w:t>Los</w:t>
      </w:r>
      <w:r w:rsidR="00C07C4E" w:rsidRPr="002C13F3">
        <w:rPr>
          <w:rFonts w:ascii="Century" w:hAnsi="Century"/>
          <w:sz w:val="24"/>
          <w:szCs w:val="24"/>
        </w:rPr>
        <w:t xml:space="preserve"> </w:t>
      </w:r>
      <w:r w:rsidRPr="002C13F3">
        <w:rPr>
          <w:rFonts w:ascii="Century" w:hAnsi="Century"/>
          <w:sz w:val="24"/>
          <w:szCs w:val="24"/>
        </w:rPr>
        <w:t>beneficios fiscales</w:t>
      </w:r>
      <w:r w:rsidR="000E688B">
        <w:rPr>
          <w:rFonts w:ascii="Century" w:hAnsi="Century"/>
          <w:sz w:val="24"/>
          <w:szCs w:val="24"/>
        </w:rPr>
        <w:t xml:space="preserve"> también dependen</w:t>
      </w:r>
      <w:r w:rsidRPr="002C13F3">
        <w:rPr>
          <w:rFonts w:ascii="Century" w:hAnsi="Century"/>
          <w:sz w:val="24"/>
          <w:szCs w:val="24"/>
        </w:rPr>
        <w:t xml:space="preserve"> del territorio</w:t>
      </w:r>
      <w:r w:rsidR="000E688B">
        <w:rPr>
          <w:rFonts w:ascii="Century" w:hAnsi="Century"/>
          <w:sz w:val="24"/>
          <w:szCs w:val="24"/>
        </w:rPr>
        <w:t xml:space="preserve"> al que nos refiramos</w:t>
      </w:r>
      <w:r w:rsidRPr="002C13F3">
        <w:rPr>
          <w:rFonts w:ascii="Century" w:hAnsi="Century"/>
          <w:sz w:val="24"/>
          <w:szCs w:val="24"/>
        </w:rPr>
        <w:t>.</w:t>
      </w:r>
      <w:r w:rsidR="000E688B">
        <w:rPr>
          <w:rFonts w:ascii="Century" w:hAnsi="Century"/>
          <w:sz w:val="24"/>
          <w:szCs w:val="24"/>
        </w:rPr>
        <w:t xml:space="preserve"> Así</w:t>
      </w:r>
      <w:r w:rsidR="00C07C4E" w:rsidRPr="002C13F3">
        <w:rPr>
          <w:rFonts w:ascii="Century" w:hAnsi="Century"/>
          <w:sz w:val="24"/>
          <w:szCs w:val="24"/>
        </w:rPr>
        <w:t>, e</w:t>
      </w:r>
      <w:r w:rsidRPr="002C13F3">
        <w:rPr>
          <w:rFonts w:ascii="Century" w:hAnsi="Century"/>
          <w:sz w:val="24"/>
          <w:szCs w:val="24"/>
        </w:rPr>
        <w:t xml:space="preserve">n la Región de Bélgica capital, el cónyuge, descendientes o ascendientes no tributarán por los primeros 15.000 euros que reciban de la herencia. Además, para los hijos del fallecido, se incrementará en 2.500 euros por cada año completo que quede antes de que el hijo cumpla los </w:t>
      </w:r>
      <w:r w:rsidR="00C07C4E" w:rsidRPr="002C13F3">
        <w:rPr>
          <w:rFonts w:ascii="Century" w:hAnsi="Century"/>
          <w:sz w:val="24"/>
          <w:szCs w:val="24"/>
        </w:rPr>
        <w:t xml:space="preserve">veintiún </w:t>
      </w:r>
      <w:r w:rsidRPr="002C13F3">
        <w:rPr>
          <w:rFonts w:ascii="Century" w:hAnsi="Century"/>
          <w:sz w:val="24"/>
          <w:szCs w:val="24"/>
        </w:rPr>
        <w:t>años de edad. En el caso del cónyuge sobre</w:t>
      </w:r>
      <w:r w:rsidR="00C07C4E" w:rsidRPr="002C13F3">
        <w:rPr>
          <w:rFonts w:ascii="Century" w:hAnsi="Century"/>
          <w:sz w:val="24"/>
          <w:szCs w:val="24"/>
        </w:rPr>
        <w:t>viviente con hijos menores de veintiún</w:t>
      </w:r>
      <w:r w:rsidRPr="002C13F3">
        <w:rPr>
          <w:rFonts w:ascii="Century" w:hAnsi="Century"/>
          <w:sz w:val="24"/>
          <w:szCs w:val="24"/>
        </w:rPr>
        <w:t xml:space="preserve"> años se aplicará un beneficio adicional, equivalente a la mitad del beneficio fiscal con</w:t>
      </w:r>
      <w:r w:rsidR="00C07C4E" w:rsidRPr="002C13F3">
        <w:rPr>
          <w:rFonts w:ascii="Century" w:hAnsi="Century"/>
          <w:sz w:val="24"/>
          <w:szCs w:val="24"/>
        </w:rPr>
        <w:t>cedido a los hijos menores de veintiún</w:t>
      </w:r>
      <w:r w:rsidRPr="002C13F3">
        <w:rPr>
          <w:rFonts w:ascii="Century" w:hAnsi="Century"/>
          <w:sz w:val="24"/>
          <w:szCs w:val="24"/>
        </w:rPr>
        <w:t xml:space="preserve"> años, es decir, de 1.250 euros. En el caso de heredar la vivienda habitual, el cónyuge no tributará por este hecho, pero sí lo harán los ascendientes y descendientes</w:t>
      </w:r>
      <w:r w:rsidR="000E688B">
        <w:rPr>
          <w:rFonts w:ascii="Century" w:hAnsi="Century"/>
          <w:sz w:val="24"/>
          <w:szCs w:val="24"/>
        </w:rPr>
        <w:t>,</w:t>
      </w:r>
      <w:r w:rsidRPr="002C13F3">
        <w:rPr>
          <w:rFonts w:ascii="Century" w:hAnsi="Century"/>
          <w:sz w:val="24"/>
          <w:szCs w:val="24"/>
        </w:rPr>
        <w:t xml:space="preserve"> aplicándoseles menores tipos.</w:t>
      </w:r>
      <w:r w:rsidR="000E688B">
        <w:rPr>
          <w:rFonts w:ascii="Century" w:hAnsi="Century"/>
          <w:sz w:val="24"/>
          <w:szCs w:val="24"/>
        </w:rPr>
        <w:t xml:space="preserve"> </w:t>
      </w:r>
      <w:r w:rsidRPr="002C13F3">
        <w:rPr>
          <w:rFonts w:ascii="Century" w:hAnsi="Century"/>
          <w:sz w:val="24"/>
          <w:szCs w:val="24"/>
        </w:rPr>
        <w:t>La Región de Flandes establece que el cónyuge</w:t>
      </w:r>
      <w:r w:rsidR="000E688B">
        <w:rPr>
          <w:rFonts w:ascii="Century" w:hAnsi="Century"/>
          <w:sz w:val="24"/>
          <w:szCs w:val="24"/>
        </w:rPr>
        <w:t xml:space="preserve"> no tributará por este impuesto y e</w:t>
      </w:r>
      <w:r w:rsidRPr="002C13F3">
        <w:rPr>
          <w:rFonts w:ascii="Century" w:hAnsi="Century"/>
          <w:sz w:val="24"/>
          <w:szCs w:val="24"/>
        </w:rPr>
        <w:t xml:space="preserve">n el caso de los </w:t>
      </w:r>
      <w:r w:rsidR="004130C1" w:rsidRPr="002C13F3">
        <w:rPr>
          <w:rFonts w:ascii="Century" w:hAnsi="Century"/>
          <w:sz w:val="24"/>
          <w:szCs w:val="24"/>
        </w:rPr>
        <w:t>herederos</w:t>
      </w:r>
      <w:r w:rsidRPr="002C13F3">
        <w:rPr>
          <w:rFonts w:ascii="Century" w:hAnsi="Century"/>
          <w:sz w:val="24"/>
          <w:szCs w:val="24"/>
        </w:rPr>
        <w:t xml:space="preserve"> gravemente discapacitados se aplicará un beneficio fiscal muy importante. En la Región Valona se aplica un tipo impositivo reducido del 0 </w:t>
      </w:r>
      <w:r w:rsidRPr="002C13F3">
        <w:rPr>
          <w:rFonts w:ascii="Century" w:hAnsi="Century"/>
          <w:sz w:val="24"/>
          <w:szCs w:val="24"/>
        </w:rPr>
        <w:lastRenderedPageBreak/>
        <w:t xml:space="preserve">por ciento sobre el primer tramo de base imponible de 160.000 euros de la vivienda habitual situada en este territorio heredada por el cónyuge. Además también prevé que el cónyuge, descendientes o ascendientes no tributarán por los primeros 12.500 euros que reciban. Por otro lado, para el hijo del fallecido se incrementará en 2.500 euros por cada año completo que quede antes de que el mismo cumpla los </w:t>
      </w:r>
      <w:r w:rsidR="004130C1" w:rsidRPr="002C13F3">
        <w:rPr>
          <w:rFonts w:ascii="Century" w:hAnsi="Century"/>
          <w:sz w:val="24"/>
          <w:szCs w:val="24"/>
        </w:rPr>
        <w:t>veintiún</w:t>
      </w:r>
      <w:r w:rsidRPr="002C13F3">
        <w:rPr>
          <w:rFonts w:ascii="Century" w:hAnsi="Century"/>
          <w:sz w:val="24"/>
          <w:szCs w:val="24"/>
        </w:rPr>
        <w:t xml:space="preserve"> años de edad. </w:t>
      </w:r>
      <w:r w:rsidR="006A2E65">
        <w:rPr>
          <w:rFonts w:ascii="Century" w:hAnsi="Century"/>
          <w:sz w:val="24"/>
          <w:szCs w:val="24"/>
        </w:rPr>
        <w:t>Y, por lo demás, e</w:t>
      </w:r>
      <w:r w:rsidRPr="002C13F3">
        <w:rPr>
          <w:rFonts w:ascii="Century" w:hAnsi="Century"/>
          <w:sz w:val="24"/>
          <w:szCs w:val="24"/>
        </w:rPr>
        <w:t>l cónyuge co</w:t>
      </w:r>
      <w:r w:rsidR="004130C1" w:rsidRPr="002C13F3">
        <w:rPr>
          <w:rFonts w:ascii="Century" w:hAnsi="Century"/>
          <w:sz w:val="24"/>
          <w:szCs w:val="24"/>
        </w:rPr>
        <w:t>n hijos menores de veintiún</w:t>
      </w:r>
      <w:r w:rsidRPr="002C13F3">
        <w:rPr>
          <w:rFonts w:ascii="Century" w:hAnsi="Century"/>
          <w:sz w:val="24"/>
          <w:szCs w:val="24"/>
        </w:rPr>
        <w:t xml:space="preserve"> años tendrá derecho a un beneficio adicional </w:t>
      </w:r>
      <w:r w:rsidR="003023AB">
        <w:rPr>
          <w:rFonts w:ascii="Century" w:hAnsi="Century"/>
          <w:sz w:val="24"/>
          <w:szCs w:val="24"/>
        </w:rPr>
        <w:t>de</w:t>
      </w:r>
      <w:r w:rsidRPr="002C13F3">
        <w:rPr>
          <w:rFonts w:ascii="Century" w:hAnsi="Century"/>
          <w:sz w:val="24"/>
          <w:szCs w:val="24"/>
        </w:rPr>
        <w:t xml:space="preserve"> 1.250 euros.</w:t>
      </w:r>
    </w:p>
    <w:p w:rsidR="003126CE" w:rsidRPr="002C13F3" w:rsidRDefault="004B017E" w:rsidP="002D11BC">
      <w:pPr>
        <w:spacing w:after="240" w:line="360" w:lineRule="auto"/>
        <w:jc w:val="both"/>
        <w:rPr>
          <w:rFonts w:ascii="Century" w:hAnsi="Century"/>
          <w:sz w:val="24"/>
          <w:szCs w:val="24"/>
        </w:rPr>
      </w:pPr>
      <w:r>
        <w:rPr>
          <w:rFonts w:ascii="Century" w:hAnsi="Century"/>
          <w:sz w:val="24"/>
          <w:szCs w:val="24"/>
        </w:rPr>
        <w:tab/>
        <w:t>En Bulgaria, el ISUC</w:t>
      </w:r>
      <w:r w:rsidR="003126CE" w:rsidRPr="002C13F3">
        <w:rPr>
          <w:rFonts w:ascii="Century" w:hAnsi="Century"/>
          <w:sz w:val="24"/>
          <w:szCs w:val="24"/>
        </w:rPr>
        <w:t xml:space="preserve"> se aplica a la herencia </w:t>
      </w:r>
      <w:r w:rsidR="006A2E65">
        <w:rPr>
          <w:rFonts w:ascii="Century" w:hAnsi="Century"/>
          <w:sz w:val="24"/>
          <w:szCs w:val="24"/>
        </w:rPr>
        <w:t>de bienes y derechos situados e</w:t>
      </w:r>
      <w:r w:rsidR="003126CE" w:rsidRPr="002C13F3">
        <w:rPr>
          <w:rFonts w:ascii="Century" w:hAnsi="Century"/>
          <w:sz w:val="24"/>
          <w:szCs w:val="24"/>
        </w:rPr>
        <w:t xml:space="preserve">n este Estado o en </w:t>
      </w:r>
      <w:r w:rsidR="006A2E65">
        <w:rPr>
          <w:rFonts w:ascii="Century" w:hAnsi="Century"/>
          <w:sz w:val="24"/>
          <w:szCs w:val="24"/>
        </w:rPr>
        <w:t>el extranjero si el causante es</w:t>
      </w:r>
      <w:r w:rsidR="003126CE" w:rsidRPr="002C13F3">
        <w:rPr>
          <w:rFonts w:ascii="Century" w:hAnsi="Century"/>
          <w:sz w:val="24"/>
          <w:szCs w:val="24"/>
        </w:rPr>
        <w:t xml:space="preserve"> ciudadano búl</w:t>
      </w:r>
      <w:r w:rsidR="006A2E65">
        <w:rPr>
          <w:rFonts w:ascii="Century" w:hAnsi="Century"/>
          <w:sz w:val="24"/>
          <w:szCs w:val="24"/>
        </w:rPr>
        <w:t>garo, y únicamente a la</w:t>
      </w:r>
      <w:r w:rsidR="003126CE" w:rsidRPr="002C13F3">
        <w:rPr>
          <w:rFonts w:ascii="Century" w:hAnsi="Century"/>
          <w:sz w:val="24"/>
          <w:szCs w:val="24"/>
        </w:rPr>
        <w:t xml:space="preserve"> situada en es</w:t>
      </w:r>
      <w:r w:rsidR="006A2E65">
        <w:rPr>
          <w:rFonts w:ascii="Century" w:hAnsi="Century"/>
          <w:sz w:val="24"/>
          <w:szCs w:val="24"/>
        </w:rPr>
        <w:t>te Estado cuando el causante es</w:t>
      </w:r>
      <w:r w:rsidR="003126CE" w:rsidRPr="002C13F3">
        <w:rPr>
          <w:rFonts w:ascii="Century" w:hAnsi="Century"/>
          <w:sz w:val="24"/>
          <w:szCs w:val="24"/>
        </w:rPr>
        <w:t xml:space="preserve"> ciudadan</w:t>
      </w:r>
      <w:r w:rsidR="006A2E65">
        <w:rPr>
          <w:rFonts w:ascii="Century" w:hAnsi="Century"/>
          <w:sz w:val="24"/>
          <w:szCs w:val="24"/>
        </w:rPr>
        <w:t>o extranjero. S</w:t>
      </w:r>
      <w:r w:rsidR="003126CE" w:rsidRPr="002C13F3">
        <w:rPr>
          <w:rFonts w:ascii="Century" w:hAnsi="Century"/>
          <w:sz w:val="24"/>
          <w:szCs w:val="24"/>
        </w:rPr>
        <w:t>e aplica</w:t>
      </w:r>
      <w:r w:rsidR="006A2E65">
        <w:rPr>
          <w:rFonts w:ascii="Century" w:hAnsi="Century"/>
          <w:sz w:val="24"/>
          <w:szCs w:val="24"/>
        </w:rPr>
        <w:t xml:space="preserve"> como criterio de sujeción </w:t>
      </w:r>
      <w:r w:rsidR="003126CE" w:rsidRPr="002C13F3">
        <w:rPr>
          <w:rFonts w:ascii="Century" w:hAnsi="Century"/>
          <w:sz w:val="24"/>
          <w:szCs w:val="24"/>
        </w:rPr>
        <w:t>el de la nacionalidad</w:t>
      </w:r>
      <w:r w:rsidR="006A2E65">
        <w:rPr>
          <w:rFonts w:ascii="Century" w:hAnsi="Century"/>
          <w:sz w:val="24"/>
          <w:szCs w:val="24"/>
        </w:rPr>
        <w:t xml:space="preserve"> del causante</w:t>
      </w:r>
      <w:r w:rsidR="003126CE" w:rsidRPr="002C13F3">
        <w:rPr>
          <w:rFonts w:ascii="Century" w:hAnsi="Century"/>
          <w:sz w:val="24"/>
          <w:szCs w:val="24"/>
        </w:rPr>
        <w:t xml:space="preserve">. Según la ley búlgara, el cónyuge, los descendientes y ascendientes no </w:t>
      </w:r>
      <w:r w:rsidR="00DF3A47">
        <w:rPr>
          <w:rFonts w:ascii="Century" w:hAnsi="Century"/>
          <w:sz w:val="24"/>
          <w:szCs w:val="24"/>
        </w:rPr>
        <w:t>estarán sujetos a</w:t>
      </w:r>
      <w:r w:rsidR="003126CE" w:rsidRPr="002C13F3">
        <w:rPr>
          <w:rFonts w:ascii="Century" w:hAnsi="Century"/>
          <w:sz w:val="24"/>
          <w:szCs w:val="24"/>
        </w:rPr>
        <w:t xml:space="preserve"> este impuesto, mientras que el resto de personas</w:t>
      </w:r>
      <w:r w:rsidR="00DF3A47">
        <w:rPr>
          <w:rFonts w:ascii="Century" w:hAnsi="Century"/>
          <w:sz w:val="24"/>
          <w:szCs w:val="24"/>
        </w:rPr>
        <w:t xml:space="preserve"> lo</w:t>
      </w:r>
      <w:r w:rsidR="003126CE" w:rsidRPr="002C13F3">
        <w:rPr>
          <w:rFonts w:ascii="Century" w:hAnsi="Century"/>
          <w:sz w:val="24"/>
          <w:szCs w:val="24"/>
        </w:rPr>
        <w:t xml:space="preserve"> estarán aunque con gravámenes muy reducidos. </w:t>
      </w:r>
    </w:p>
    <w:p w:rsidR="003126CE" w:rsidRDefault="003126CE" w:rsidP="00714139">
      <w:pPr>
        <w:pStyle w:val="HTMLconformatoprevio"/>
        <w:tabs>
          <w:tab w:val="clear" w:pos="916"/>
          <w:tab w:val="left" w:pos="709"/>
        </w:tabs>
        <w:spacing w:after="240" w:line="360" w:lineRule="auto"/>
        <w:jc w:val="both"/>
        <w:rPr>
          <w:rFonts w:ascii="Century" w:eastAsiaTheme="minorHAnsi" w:hAnsi="Century" w:cstheme="minorBidi"/>
          <w:sz w:val="24"/>
          <w:szCs w:val="24"/>
          <w:lang w:eastAsia="en-US"/>
        </w:rPr>
      </w:pPr>
      <w:r w:rsidRPr="002C13F3">
        <w:rPr>
          <w:rFonts w:ascii="Century" w:eastAsiaTheme="minorHAnsi" w:hAnsi="Century" w:cstheme="minorBidi"/>
          <w:sz w:val="24"/>
          <w:szCs w:val="24"/>
          <w:lang w:eastAsia="en-US"/>
        </w:rPr>
        <w:tab/>
        <w:t xml:space="preserve">En Dinamarca, el impuesto </w:t>
      </w:r>
      <w:r w:rsidR="006A2E65">
        <w:rPr>
          <w:rFonts w:ascii="Century" w:eastAsiaTheme="minorHAnsi" w:hAnsi="Century" w:cstheme="minorBidi"/>
          <w:sz w:val="24"/>
          <w:szCs w:val="24"/>
          <w:lang w:eastAsia="en-US"/>
        </w:rPr>
        <w:t xml:space="preserve">se ajusta al criterio </w:t>
      </w:r>
      <w:r w:rsidRPr="002C13F3">
        <w:rPr>
          <w:rFonts w:ascii="Century" w:eastAsiaTheme="minorHAnsi" w:hAnsi="Century" w:cstheme="minorBidi"/>
          <w:sz w:val="24"/>
          <w:szCs w:val="24"/>
          <w:lang w:eastAsia="en-US"/>
        </w:rPr>
        <w:t xml:space="preserve">del domicilio. En el caso de que el causante esté domiciliado en este Estado en el momento del fallecimiento, todos los bienes del mismo estarán sujetos al impuesto. En el supuesto de que el causante esté domiciliado fuera de este territorio al citado momento, sólo </w:t>
      </w:r>
      <w:r w:rsidR="006A2E65">
        <w:rPr>
          <w:rFonts w:ascii="Century" w:eastAsiaTheme="minorHAnsi" w:hAnsi="Century" w:cstheme="minorBidi"/>
          <w:sz w:val="24"/>
          <w:szCs w:val="24"/>
          <w:lang w:eastAsia="en-US"/>
        </w:rPr>
        <w:t>lo estaría</w:t>
      </w:r>
      <w:r w:rsidRPr="002C13F3">
        <w:rPr>
          <w:rFonts w:ascii="Century" w:eastAsiaTheme="minorHAnsi" w:hAnsi="Century" w:cstheme="minorBidi"/>
          <w:sz w:val="24"/>
          <w:szCs w:val="24"/>
          <w:lang w:eastAsia="en-US"/>
        </w:rPr>
        <w:t xml:space="preserve"> los bienes </w:t>
      </w:r>
      <w:r w:rsidR="006A2E65">
        <w:rPr>
          <w:rFonts w:ascii="Century" w:eastAsiaTheme="minorHAnsi" w:hAnsi="Century" w:cstheme="minorBidi"/>
          <w:sz w:val="24"/>
          <w:szCs w:val="24"/>
          <w:lang w:eastAsia="en-US"/>
        </w:rPr>
        <w:t>y derechos situados en el país</w:t>
      </w:r>
      <w:r w:rsidRPr="002C13F3">
        <w:rPr>
          <w:rFonts w:ascii="Century" w:eastAsiaTheme="minorHAnsi" w:hAnsi="Century" w:cstheme="minorBidi"/>
          <w:sz w:val="24"/>
          <w:szCs w:val="24"/>
          <w:lang w:eastAsia="en-US"/>
        </w:rPr>
        <w:t>.</w:t>
      </w:r>
      <w:r w:rsidR="00250F57" w:rsidRPr="002C13F3">
        <w:rPr>
          <w:rFonts w:ascii="Century" w:eastAsiaTheme="minorHAnsi" w:hAnsi="Century" w:cstheme="minorBidi"/>
          <w:sz w:val="24"/>
          <w:szCs w:val="24"/>
          <w:lang w:eastAsia="en-US"/>
        </w:rPr>
        <w:t xml:space="preserve"> </w:t>
      </w:r>
      <w:r w:rsidRPr="002C13F3">
        <w:rPr>
          <w:rFonts w:ascii="Century" w:eastAsiaTheme="minorHAnsi" w:hAnsi="Century" w:cstheme="minorBidi"/>
          <w:sz w:val="24"/>
          <w:szCs w:val="24"/>
          <w:lang w:eastAsia="en-US"/>
        </w:rPr>
        <w:t>El impuesto aplica el tipo de gravamen del 15 por ciento sobre el valor neto que</w:t>
      </w:r>
      <w:r w:rsidR="00FA52A6" w:rsidRPr="002C13F3">
        <w:rPr>
          <w:rFonts w:ascii="Century" w:eastAsiaTheme="minorHAnsi" w:hAnsi="Century" w:cstheme="minorBidi"/>
          <w:sz w:val="24"/>
          <w:szCs w:val="24"/>
          <w:lang w:eastAsia="en-US"/>
        </w:rPr>
        <w:t xml:space="preserve"> exceda de </w:t>
      </w:r>
      <w:r w:rsidR="007164CC">
        <w:rPr>
          <w:rFonts w:ascii="Century" w:eastAsiaTheme="minorHAnsi" w:hAnsi="Century" w:cstheme="minorBidi"/>
          <w:sz w:val="24"/>
          <w:szCs w:val="24"/>
          <w:lang w:eastAsia="en-US"/>
        </w:rPr>
        <w:t>una determinada</w:t>
      </w:r>
      <w:r w:rsidR="00FA52A6" w:rsidRPr="002C13F3">
        <w:rPr>
          <w:rFonts w:ascii="Century" w:eastAsiaTheme="minorHAnsi" w:hAnsi="Century" w:cstheme="minorBidi"/>
          <w:sz w:val="24"/>
          <w:szCs w:val="24"/>
          <w:lang w:eastAsia="en-US"/>
        </w:rPr>
        <w:t xml:space="preserve"> cantidad de 282.600 coronas danesas</w:t>
      </w:r>
      <w:r w:rsidRPr="002C13F3">
        <w:rPr>
          <w:rFonts w:ascii="Century" w:eastAsiaTheme="minorHAnsi" w:hAnsi="Century" w:cstheme="minorBidi"/>
          <w:sz w:val="24"/>
          <w:szCs w:val="24"/>
          <w:lang w:eastAsia="en-US"/>
        </w:rPr>
        <w:t xml:space="preserve"> (</w:t>
      </w:r>
      <w:r w:rsidR="000142C5" w:rsidRPr="002C13F3">
        <w:rPr>
          <w:rFonts w:ascii="Century" w:eastAsiaTheme="minorHAnsi" w:hAnsi="Century" w:cstheme="minorBidi"/>
          <w:sz w:val="24"/>
          <w:szCs w:val="24"/>
          <w:lang w:eastAsia="en-US"/>
        </w:rPr>
        <w:t xml:space="preserve">276.600 </w:t>
      </w:r>
      <w:r w:rsidR="004628EB" w:rsidRPr="002C13F3">
        <w:rPr>
          <w:rFonts w:ascii="Century" w:eastAsiaTheme="minorHAnsi" w:hAnsi="Century" w:cstheme="minorBidi"/>
          <w:sz w:val="24"/>
          <w:szCs w:val="24"/>
          <w:lang w:eastAsia="en-US"/>
        </w:rPr>
        <w:t>en</w:t>
      </w:r>
      <w:r w:rsidR="000142C5" w:rsidRPr="002C13F3">
        <w:rPr>
          <w:rFonts w:ascii="Century" w:eastAsiaTheme="minorHAnsi" w:hAnsi="Century" w:cstheme="minorBidi"/>
          <w:sz w:val="24"/>
          <w:szCs w:val="24"/>
          <w:lang w:eastAsia="en-US"/>
        </w:rPr>
        <w:t xml:space="preserve"> 2016, </w:t>
      </w:r>
      <w:r w:rsidR="004628EB" w:rsidRPr="002C13F3">
        <w:rPr>
          <w:rFonts w:ascii="Century" w:eastAsiaTheme="minorHAnsi" w:hAnsi="Century" w:cstheme="minorBidi"/>
          <w:sz w:val="24"/>
          <w:szCs w:val="24"/>
          <w:lang w:eastAsia="en-US"/>
        </w:rPr>
        <w:t xml:space="preserve">272.900 en </w:t>
      </w:r>
      <w:r w:rsidR="000142C5" w:rsidRPr="002C13F3">
        <w:rPr>
          <w:rFonts w:ascii="Century" w:eastAsiaTheme="minorHAnsi" w:hAnsi="Century" w:cstheme="minorBidi"/>
          <w:sz w:val="24"/>
          <w:szCs w:val="24"/>
          <w:lang w:eastAsia="en-US"/>
        </w:rPr>
        <w:t>2</w:t>
      </w:r>
      <w:r w:rsidR="004946A0" w:rsidRPr="002C13F3">
        <w:rPr>
          <w:rFonts w:ascii="Century" w:eastAsiaTheme="minorHAnsi" w:hAnsi="Century" w:cstheme="minorBidi"/>
          <w:sz w:val="24"/>
          <w:szCs w:val="24"/>
          <w:lang w:eastAsia="en-US"/>
        </w:rPr>
        <w:t>0</w:t>
      </w:r>
      <w:r w:rsidR="000142C5" w:rsidRPr="002C13F3">
        <w:rPr>
          <w:rFonts w:ascii="Century" w:eastAsiaTheme="minorHAnsi" w:hAnsi="Century" w:cstheme="minorBidi"/>
          <w:sz w:val="24"/>
          <w:szCs w:val="24"/>
          <w:lang w:eastAsia="en-US"/>
        </w:rPr>
        <w:t xml:space="preserve">15 y </w:t>
      </w:r>
      <w:r w:rsidR="004628EB" w:rsidRPr="002C13F3">
        <w:rPr>
          <w:rFonts w:ascii="Century" w:eastAsiaTheme="minorHAnsi" w:hAnsi="Century" w:cstheme="minorBidi"/>
          <w:sz w:val="24"/>
          <w:szCs w:val="24"/>
          <w:lang w:eastAsia="en-US"/>
        </w:rPr>
        <w:t>268.900 en</w:t>
      </w:r>
      <w:r w:rsidR="000142C5" w:rsidRPr="002C13F3">
        <w:rPr>
          <w:rFonts w:ascii="Century" w:eastAsiaTheme="minorHAnsi" w:hAnsi="Century" w:cstheme="minorBidi"/>
          <w:sz w:val="24"/>
          <w:szCs w:val="24"/>
          <w:lang w:eastAsia="en-US"/>
        </w:rPr>
        <w:t xml:space="preserve"> 2014</w:t>
      </w:r>
      <w:r w:rsidRPr="002C13F3">
        <w:rPr>
          <w:rFonts w:ascii="Century" w:eastAsiaTheme="minorHAnsi" w:hAnsi="Century" w:cstheme="minorBidi"/>
          <w:sz w:val="24"/>
          <w:szCs w:val="24"/>
          <w:lang w:eastAsia="en-US"/>
        </w:rPr>
        <w:t xml:space="preserve">) de la herencia del causante. Si el valor de la herencia es inferior al citado importe, no hay gravamen. Tampoco </w:t>
      </w:r>
      <w:r w:rsidR="006A2E65">
        <w:rPr>
          <w:rFonts w:ascii="Century" w:eastAsiaTheme="minorHAnsi" w:hAnsi="Century" w:cstheme="minorBidi"/>
          <w:sz w:val="24"/>
          <w:szCs w:val="24"/>
          <w:lang w:eastAsia="en-US"/>
        </w:rPr>
        <w:t xml:space="preserve">lo hay, </w:t>
      </w:r>
      <w:r w:rsidRPr="002C13F3">
        <w:rPr>
          <w:rFonts w:ascii="Century" w:eastAsiaTheme="minorHAnsi" w:hAnsi="Century" w:cstheme="minorBidi"/>
          <w:sz w:val="24"/>
          <w:szCs w:val="24"/>
          <w:lang w:eastAsia="en-US"/>
        </w:rPr>
        <w:t>si la sucesión se transmite a un cónyuge, una organización de utilidad pública o el Estado.</w:t>
      </w:r>
      <w:r w:rsidR="006A2E65">
        <w:rPr>
          <w:rFonts w:ascii="Century" w:eastAsiaTheme="minorHAnsi" w:hAnsi="Century" w:cstheme="minorBidi"/>
          <w:sz w:val="24"/>
          <w:szCs w:val="24"/>
          <w:lang w:eastAsia="en-US"/>
        </w:rPr>
        <w:t xml:space="preserve"> Además</w:t>
      </w:r>
      <w:r w:rsidRPr="002C13F3">
        <w:rPr>
          <w:rFonts w:ascii="Century" w:eastAsiaTheme="minorHAnsi" w:hAnsi="Century" w:cstheme="minorBidi"/>
          <w:sz w:val="24"/>
          <w:szCs w:val="24"/>
          <w:lang w:eastAsia="en-US"/>
        </w:rPr>
        <w:t>, el contribuyente puede deducirse</w:t>
      </w:r>
      <w:r w:rsidR="006A2E65">
        <w:rPr>
          <w:rFonts w:ascii="Century" w:eastAsiaTheme="minorHAnsi" w:hAnsi="Century" w:cstheme="minorBidi"/>
          <w:sz w:val="24"/>
          <w:szCs w:val="24"/>
          <w:lang w:eastAsia="en-US"/>
        </w:rPr>
        <w:t xml:space="preserve"> en</w:t>
      </w:r>
      <w:r w:rsidRPr="002C13F3">
        <w:rPr>
          <w:rFonts w:ascii="Century" w:eastAsiaTheme="minorHAnsi" w:hAnsi="Century" w:cstheme="minorBidi"/>
          <w:sz w:val="24"/>
          <w:szCs w:val="24"/>
          <w:lang w:eastAsia="en-US"/>
        </w:rPr>
        <w:t xml:space="preserve"> el impuesto danés si ha paga</w:t>
      </w:r>
      <w:r w:rsidR="006A2E65">
        <w:rPr>
          <w:rFonts w:ascii="Century" w:eastAsiaTheme="minorHAnsi" w:hAnsi="Century" w:cstheme="minorBidi"/>
          <w:sz w:val="24"/>
          <w:szCs w:val="24"/>
          <w:lang w:eastAsia="en-US"/>
        </w:rPr>
        <w:t>do un impuesto sobre herencias en</w:t>
      </w:r>
      <w:r w:rsidRPr="002C13F3">
        <w:rPr>
          <w:rFonts w:ascii="Century" w:eastAsiaTheme="minorHAnsi" w:hAnsi="Century" w:cstheme="minorBidi"/>
          <w:sz w:val="24"/>
          <w:szCs w:val="24"/>
          <w:lang w:eastAsia="en-US"/>
        </w:rPr>
        <w:t xml:space="preserve"> un Estado extranjero por bienes situados fuera de Dinamarca</w:t>
      </w:r>
      <w:r w:rsidR="000142C5" w:rsidRPr="002C13F3">
        <w:rPr>
          <w:rStyle w:val="Refdenotaalpie"/>
          <w:rFonts w:ascii="Century" w:eastAsiaTheme="minorHAnsi" w:hAnsi="Century" w:cstheme="minorBidi"/>
          <w:sz w:val="24"/>
          <w:szCs w:val="24"/>
          <w:lang w:eastAsia="en-US"/>
        </w:rPr>
        <w:footnoteReference w:id="34"/>
      </w:r>
      <w:r w:rsidRPr="002C13F3">
        <w:rPr>
          <w:rFonts w:ascii="Century" w:eastAsiaTheme="minorHAnsi" w:hAnsi="Century" w:cstheme="minorBidi"/>
          <w:sz w:val="24"/>
          <w:szCs w:val="24"/>
          <w:lang w:eastAsia="en-US"/>
        </w:rPr>
        <w:t>.</w:t>
      </w:r>
    </w:p>
    <w:p w:rsidR="003126CE" w:rsidRPr="002C13F3" w:rsidRDefault="003126CE" w:rsidP="002D11BC">
      <w:pPr>
        <w:spacing w:after="240" w:line="360" w:lineRule="auto"/>
        <w:jc w:val="both"/>
        <w:rPr>
          <w:rFonts w:ascii="Century" w:hAnsi="Century"/>
          <w:sz w:val="24"/>
          <w:szCs w:val="24"/>
        </w:rPr>
      </w:pPr>
      <w:r w:rsidRPr="002C13F3">
        <w:rPr>
          <w:rFonts w:ascii="Century" w:hAnsi="Century"/>
          <w:sz w:val="24"/>
          <w:szCs w:val="24"/>
        </w:rPr>
        <w:lastRenderedPageBreak/>
        <w:tab/>
        <w:t>El I</w:t>
      </w:r>
      <w:r w:rsidR="004B017E">
        <w:rPr>
          <w:rFonts w:ascii="Century" w:hAnsi="Century"/>
          <w:sz w:val="24"/>
          <w:szCs w:val="24"/>
        </w:rPr>
        <w:t>SUC</w:t>
      </w:r>
      <w:r w:rsidR="006A2E65">
        <w:rPr>
          <w:rFonts w:ascii="Century" w:hAnsi="Century"/>
          <w:sz w:val="24"/>
          <w:szCs w:val="24"/>
        </w:rPr>
        <w:t xml:space="preserve"> finlandés se aplica</w:t>
      </w:r>
      <w:r w:rsidRPr="002C13F3">
        <w:rPr>
          <w:rFonts w:ascii="Century" w:hAnsi="Century"/>
          <w:sz w:val="24"/>
          <w:szCs w:val="24"/>
        </w:rPr>
        <w:t xml:space="preserve"> sobre los bienes</w:t>
      </w:r>
      <w:r w:rsidR="006A2E65">
        <w:rPr>
          <w:rFonts w:ascii="Century" w:hAnsi="Century"/>
          <w:sz w:val="24"/>
          <w:szCs w:val="24"/>
        </w:rPr>
        <w:t xml:space="preserve"> y derechos</w:t>
      </w:r>
      <w:r w:rsidRPr="002C13F3">
        <w:rPr>
          <w:rFonts w:ascii="Century" w:hAnsi="Century"/>
          <w:sz w:val="24"/>
          <w:szCs w:val="24"/>
        </w:rPr>
        <w:t xml:space="preserve"> situados en Finlandia o en el extranjero si el causante o heredero son residentes en este Estado en el momento del fallecimiento. En el supuesto de que una persona permaneciera en Finlandia por un período largo y no tuviera su residencia en este territorio no será considerado residente </w:t>
      </w:r>
      <w:r w:rsidR="00997FCF">
        <w:rPr>
          <w:rFonts w:ascii="Century" w:hAnsi="Century"/>
          <w:sz w:val="24"/>
          <w:szCs w:val="24"/>
        </w:rPr>
        <w:t>al</w:t>
      </w:r>
      <w:r w:rsidRPr="002C13F3">
        <w:rPr>
          <w:rFonts w:ascii="Century" w:hAnsi="Century"/>
          <w:sz w:val="24"/>
          <w:szCs w:val="24"/>
        </w:rPr>
        <w:t xml:space="preserve"> objeto de este impuesto.</w:t>
      </w:r>
      <w:r w:rsidR="00250F57" w:rsidRPr="002C13F3">
        <w:rPr>
          <w:rFonts w:ascii="Century" w:hAnsi="Century"/>
          <w:sz w:val="24"/>
          <w:szCs w:val="24"/>
        </w:rPr>
        <w:t xml:space="preserve"> </w:t>
      </w:r>
      <w:r w:rsidRPr="002C13F3">
        <w:rPr>
          <w:rFonts w:ascii="Century" w:hAnsi="Century"/>
          <w:sz w:val="24"/>
          <w:szCs w:val="24"/>
        </w:rPr>
        <w:t>El tipo impositivo</w:t>
      </w:r>
      <w:r w:rsidR="00997FCF">
        <w:rPr>
          <w:rFonts w:ascii="Century" w:hAnsi="Century"/>
          <w:sz w:val="24"/>
          <w:szCs w:val="24"/>
        </w:rPr>
        <w:t xml:space="preserve"> aplicable</w:t>
      </w:r>
      <w:r w:rsidRPr="002C13F3">
        <w:rPr>
          <w:rFonts w:ascii="Century" w:hAnsi="Century"/>
          <w:sz w:val="24"/>
          <w:szCs w:val="24"/>
        </w:rPr>
        <w:t xml:space="preserve"> para el cónyuge, descendientes y ascendientes ha</w:t>
      </w:r>
      <w:r w:rsidR="004946A0" w:rsidRPr="002C13F3">
        <w:rPr>
          <w:rFonts w:ascii="Century" w:hAnsi="Century"/>
          <w:sz w:val="24"/>
          <w:szCs w:val="24"/>
        </w:rPr>
        <w:t xml:space="preserve"> disminuido en 2017 oscilando entre el 7 y el 19 por ciento (al igual que en 2014), pues en </w:t>
      </w:r>
      <w:r w:rsidRPr="002C13F3">
        <w:rPr>
          <w:rFonts w:ascii="Century" w:hAnsi="Century"/>
          <w:sz w:val="24"/>
          <w:szCs w:val="24"/>
        </w:rPr>
        <w:t xml:space="preserve">2015 y 2016 </w:t>
      </w:r>
      <w:r w:rsidR="004946A0" w:rsidRPr="002C13F3">
        <w:rPr>
          <w:rFonts w:ascii="Century" w:hAnsi="Century"/>
          <w:sz w:val="24"/>
          <w:szCs w:val="24"/>
        </w:rPr>
        <w:t>había aumentado</w:t>
      </w:r>
      <w:r w:rsidR="00997FCF">
        <w:rPr>
          <w:rFonts w:ascii="Century" w:hAnsi="Century"/>
          <w:sz w:val="24"/>
          <w:szCs w:val="24"/>
        </w:rPr>
        <w:t>,</w:t>
      </w:r>
      <w:r w:rsidR="004946A0" w:rsidRPr="002C13F3">
        <w:rPr>
          <w:rFonts w:ascii="Century" w:hAnsi="Century"/>
          <w:sz w:val="24"/>
          <w:szCs w:val="24"/>
        </w:rPr>
        <w:t xml:space="preserve"> </w:t>
      </w:r>
      <w:r w:rsidRPr="002C13F3">
        <w:rPr>
          <w:rFonts w:ascii="Century" w:hAnsi="Century"/>
          <w:sz w:val="24"/>
          <w:szCs w:val="24"/>
        </w:rPr>
        <w:t xml:space="preserve">oscilando del 8 al 20 por ciento. La legislación finlandesa establece muy pocos beneficios fiscales, </w:t>
      </w:r>
      <w:r w:rsidR="00997FCF">
        <w:rPr>
          <w:rFonts w:ascii="Century" w:hAnsi="Century"/>
          <w:sz w:val="24"/>
          <w:szCs w:val="24"/>
        </w:rPr>
        <w:t>y así, por ejemplo,</w:t>
      </w:r>
      <w:r w:rsidRPr="002C13F3">
        <w:rPr>
          <w:rFonts w:ascii="Century" w:hAnsi="Century"/>
          <w:sz w:val="24"/>
          <w:szCs w:val="24"/>
        </w:rPr>
        <w:t xml:space="preserve"> considera exentos de este impuesto al Estado y otras organizaciones, así como aquellas personas que trabajan en misiones diplomáticas extranjeras o similares.</w:t>
      </w:r>
    </w:p>
    <w:p w:rsidR="003126CE" w:rsidRPr="002C13F3" w:rsidRDefault="003126CE" w:rsidP="002D11BC">
      <w:pPr>
        <w:pStyle w:val="HTMLconformatoprevio"/>
        <w:spacing w:after="240" w:line="360" w:lineRule="auto"/>
        <w:jc w:val="both"/>
        <w:rPr>
          <w:rFonts w:ascii="Century" w:hAnsi="Century"/>
          <w:sz w:val="24"/>
          <w:szCs w:val="24"/>
        </w:rPr>
      </w:pPr>
      <w:r w:rsidRPr="002C13F3">
        <w:rPr>
          <w:rFonts w:ascii="Century" w:hAnsi="Century"/>
          <w:sz w:val="24"/>
          <w:szCs w:val="24"/>
        </w:rPr>
        <w:tab/>
        <w:t xml:space="preserve">En Francia, el impuesto sobre herencias </w:t>
      </w:r>
      <w:r w:rsidR="00997FCF">
        <w:rPr>
          <w:rFonts w:ascii="Century" w:hAnsi="Century"/>
          <w:sz w:val="24"/>
          <w:szCs w:val="24"/>
        </w:rPr>
        <w:t>se sustenta sobre</w:t>
      </w:r>
      <w:r w:rsidRPr="002C13F3">
        <w:rPr>
          <w:rFonts w:ascii="Century" w:hAnsi="Century"/>
          <w:sz w:val="24"/>
          <w:szCs w:val="24"/>
        </w:rPr>
        <w:t xml:space="preserve"> el criterio del domicilio o la residencia. Desde el punto de vista del derecho fiscal francés no hay diferencia</w:t>
      </w:r>
      <w:r w:rsidR="00867913">
        <w:rPr>
          <w:rFonts w:ascii="Century" w:hAnsi="Century"/>
          <w:sz w:val="24"/>
          <w:szCs w:val="24"/>
        </w:rPr>
        <w:t xml:space="preserve"> en</w:t>
      </w:r>
      <w:r w:rsidRPr="002C13F3">
        <w:rPr>
          <w:rFonts w:ascii="Century" w:hAnsi="Century"/>
          <w:sz w:val="24"/>
          <w:szCs w:val="24"/>
        </w:rPr>
        <w:t xml:space="preserve"> </w:t>
      </w:r>
      <w:r w:rsidR="00997FCF">
        <w:rPr>
          <w:rFonts w:ascii="Century" w:hAnsi="Century"/>
          <w:sz w:val="24"/>
          <w:szCs w:val="24"/>
        </w:rPr>
        <w:t>ambos criterios</w:t>
      </w:r>
      <w:r w:rsidRPr="002C13F3">
        <w:rPr>
          <w:rFonts w:ascii="Century" w:hAnsi="Century"/>
          <w:sz w:val="24"/>
          <w:szCs w:val="24"/>
        </w:rPr>
        <w:t xml:space="preserve">. Se consideran domiciliadas en Francia aquellas personas que tengan su residencia principal, realicen una actividad profesional o tengan el centro de sus intereses económicos en este territorio. </w:t>
      </w:r>
      <w:r w:rsidR="00754E9F" w:rsidRPr="002C13F3">
        <w:rPr>
          <w:rFonts w:ascii="Century" w:hAnsi="Century"/>
          <w:sz w:val="24"/>
          <w:szCs w:val="24"/>
        </w:rPr>
        <w:t xml:space="preserve">Cuando </w:t>
      </w:r>
      <w:r w:rsidRPr="002C13F3">
        <w:rPr>
          <w:rFonts w:ascii="Century" w:hAnsi="Century"/>
          <w:sz w:val="24"/>
          <w:szCs w:val="24"/>
        </w:rPr>
        <w:t>el fallecido esté domiciliado en Francia, todos los bienes</w:t>
      </w:r>
      <w:r w:rsidR="00754E9F" w:rsidRPr="002C13F3">
        <w:rPr>
          <w:rFonts w:ascii="Century" w:hAnsi="Century"/>
          <w:sz w:val="24"/>
          <w:szCs w:val="24"/>
        </w:rPr>
        <w:t xml:space="preserve"> muebles e inmuebles situados en</w:t>
      </w:r>
      <w:r w:rsidRPr="002C13F3">
        <w:rPr>
          <w:rFonts w:ascii="Century" w:hAnsi="Century"/>
          <w:sz w:val="24"/>
          <w:szCs w:val="24"/>
        </w:rPr>
        <w:t xml:space="preserve"> este territorio y fuera de él estarán sujetos al impuesto en este país. Cuando el fallecido esté domiciliado fuera de Francia, sólo los bienes muebles e inmuebles situados en el mismo estarán sujetos al impuesto. Cuando el fallecido esté domiciliado fuera de Francia y el beneficiario esté domiciliado en este país durante al menos seis años durante los últimos diez años anteriores al fallecimiento, todos los bienes muebles e inmuebles situados en este Estado o fuera de él estarán sujetos </w:t>
      </w:r>
      <w:r w:rsidR="00997FCF">
        <w:rPr>
          <w:rFonts w:ascii="Century" w:hAnsi="Century"/>
          <w:sz w:val="24"/>
          <w:szCs w:val="24"/>
        </w:rPr>
        <w:t>a gravamen. Los</w:t>
      </w:r>
      <w:r w:rsidRPr="002C13F3">
        <w:rPr>
          <w:rFonts w:ascii="Century" w:hAnsi="Century"/>
          <w:sz w:val="24"/>
          <w:szCs w:val="24"/>
        </w:rPr>
        <w:t xml:space="preserve"> tipo</w:t>
      </w:r>
      <w:r w:rsidR="00997FCF">
        <w:rPr>
          <w:rFonts w:ascii="Century" w:hAnsi="Century"/>
          <w:sz w:val="24"/>
          <w:szCs w:val="24"/>
        </w:rPr>
        <w:t>s</w:t>
      </w:r>
      <w:r w:rsidRPr="002C13F3">
        <w:rPr>
          <w:rFonts w:ascii="Century" w:hAnsi="Century"/>
          <w:sz w:val="24"/>
          <w:szCs w:val="24"/>
        </w:rPr>
        <w:t xml:space="preserve"> impositivo</w:t>
      </w:r>
      <w:r w:rsidR="00997FCF">
        <w:rPr>
          <w:rFonts w:ascii="Century" w:hAnsi="Century"/>
          <w:sz w:val="24"/>
          <w:szCs w:val="24"/>
        </w:rPr>
        <w:t xml:space="preserve">s variarán </w:t>
      </w:r>
      <w:r w:rsidR="00CE6371" w:rsidRPr="002C13F3">
        <w:rPr>
          <w:rFonts w:ascii="Century" w:hAnsi="Century"/>
          <w:sz w:val="24"/>
          <w:szCs w:val="24"/>
        </w:rPr>
        <w:t>dependiendo del valor</w:t>
      </w:r>
      <w:r w:rsidR="00997FCF">
        <w:rPr>
          <w:rFonts w:ascii="Century" w:hAnsi="Century"/>
          <w:sz w:val="24"/>
          <w:szCs w:val="24"/>
        </w:rPr>
        <w:t xml:space="preserve"> de lo</w:t>
      </w:r>
      <w:r w:rsidR="00CE6371" w:rsidRPr="002C13F3">
        <w:rPr>
          <w:rFonts w:ascii="Century" w:hAnsi="Century"/>
          <w:sz w:val="24"/>
          <w:szCs w:val="24"/>
        </w:rPr>
        <w:t xml:space="preserve"> transmitido, </w:t>
      </w:r>
      <w:r w:rsidRPr="002C13F3">
        <w:rPr>
          <w:rFonts w:ascii="Century" w:hAnsi="Century"/>
          <w:sz w:val="24"/>
          <w:szCs w:val="24"/>
        </w:rPr>
        <w:t>para descendientes y ascendientes entre el 5 y el 45 por ciento. Francia</w:t>
      </w:r>
      <w:r w:rsidR="005D4710" w:rsidRPr="002C13F3">
        <w:rPr>
          <w:rFonts w:ascii="Century" w:hAnsi="Century"/>
          <w:sz w:val="24"/>
          <w:szCs w:val="24"/>
        </w:rPr>
        <w:t xml:space="preserve"> no</w:t>
      </w:r>
      <w:r w:rsidRPr="002C13F3">
        <w:rPr>
          <w:rFonts w:ascii="Century" w:hAnsi="Century"/>
          <w:sz w:val="24"/>
          <w:szCs w:val="24"/>
        </w:rPr>
        <w:t xml:space="preserve"> </w:t>
      </w:r>
      <w:r w:rsidR="00754E9F" w:rsidRPr="002C13F3">
        <w:rPr>
          <w:rFonts w:ascii="Century" w:hAnsi="Century"/>
          <w:sz w:val="24"/>
          <w:szCs w:val="24"/>
        </w:rPr>
        <w:t xml:space="preserve">establece beneficios fiscales </w:t>
      </w:r>
      <w:r w:rsidRPr="002C13F3">
        <w:rPr>
          <w:rFonts w:ascii="Century" w:hAnsi="Century"/>
          <w:sz w:val="24"/>
          <w:szCs w:val="24"/>
        </w:rPr>
        <w:t>para los citados parientes</w:t>
      </w:r>
      <w:r w:rsidR="00997FCF">
        <w:rPr>
          <w:rFonts w:ascii="Century" w:hAnsi="Century"/>
          <w:sz w:val="24"/>
          <w:szCs w:val="24"/>
        </w:rPr>
        <w:t>,</w:t>
      </w:r>
      <w:r w:rsidRPr="002C13F3">
        <w:rPr>
          <w:rFonts w:ascii="Century" w:hAnsi="Century"/>
          <w:sz w:val="24"/>
          <w:szCs w:val="24"/>
        </w:rPr>
        <w:t xml:space="preserve"> pero sí exenciones</w:t>
      </w:r>
      <w:r w:rsidR="00997FCF">
        <w:rPr>
          <w:rFonts w:ascii="Century" w:hAnsi="Century"/>
          <w:sz w:val="24"/>
          <w:szCs w:val="24"/>
        </w:rPr>
        <w:t xml:space="preserve"> para</w:t>
      </w:r>
      <w:r w:rsidRPr="002C13F3">
        <w:rPr>
          <w:rFonts w:ascii="Century" w:hAnsi="Century"/>
          <w:sz w:val="24"/>
          <w:szCs w:val="24"/>
        </w:rPr>
        <w:t xml:space="preserve"> el cónyuge.</w:t>
      </w:r>
    </w:p>
    <w:p w:rsidR="003126CE" w:rsidRPr="002C13F3" w:rsidRDefault="003126CE" w:rsidP="002D11BC">
      <w:pPr>
        <w:spacing w:after="240" w:line="360" w:lineRule="auto"/>
        <w:jc w:val="both"/>
        <w:rPr>
          <w:rFonts w:ascii="Century" w:hAnsi="Century"/>
          <w:sz w:val="24"/>
          <w:szCs w:val="24"/>
        </w:rPr>
      </w:pPr>
      <w:r w:rsidRPr="002C13F3">
        <w:rPr>
          <w:rFonts w:ascii="Century" w:hAnsi="Century"/>
          <w:sz w:val="24"/>
          <w:szCs w:val="24"/>
        </w:rPr>
        <w:tab/>
        <w:t xml:space="preserve">Las sucesiones en Irlanda están sujetas al llamado Impuesto sobre las adquisiciones de capital que emplea como criterio de sujeción el de la </w:t>
      </w:r>
      <w:r w:rsidRPr="002C13F3">
        <w:rPr>
          <w:rFonts w:ascii="Century" w:hAnsi="Century"/>
          <w:sz w:val="24"/>
          <w:szCs w:val="24"/>
        </w:rPr>
        <w:lastRenderedPageBreak/>
        <w:t xml:space="preserve">residencia, considerando a una persona residente si está presente en este territorio un total de 183 días o más en el año fiscal. La legislación fiscal irlandesa establece un tipo de gravamen fijo del 33 por ciento sobre las herencias respecto de </w:t>
      </w:r>
      <w:r w:rsidR="000C21AA" w:rsidRPr="002C13F3">
        <w:rPr>
          <w:rFonts w:ascii="Century" w:hAnsi="Century"/>
          <w:sz w:val="24"/>
          <w:szCs w:val="24"/>
        </w:rPr>
        <w:t>imposiciones sucesorias</w:t>
      </w:r>
      <w:r w:rsidRPr="002C13F3">
        <w:rPr>
          <w:rFonts w:ascii="Century" w:hAnsi="Century"/>
          <w:sz w:val="24"/>
          <w:szCs w:val="24"/>
        </w:rPr>
        <w:t xml:space="preserve"> realizadas después del 6 de diciembre de 2012. Con relación a los beneficios fiscales,</w:t>
      </w:r>
      <w:r w:rsidR="00487A37">
        <w:rPr>
          <w:rFonts w:ascii="Century" w:hAnsi="Century"/>
          <w:sz w:val="24"/>
          <w:szCs w:val="24"/>
        </w:rPr>
        <w:t xml:space="preserve"> este Estado establece reducciones sólo en el marco de las empresas y propiedades agrícolas. Con respecto a las exenciones, </w:t>
      </w:r>
      <w:r w:rsidRPr="002C13F3">
        <w:rPr>
          <w:rFonts w:ascii="Century" w:hAnsi="Century"/>
          <w:sz w:val="24"/>
          <w:szCs w:val="24"/>
        </w:rPr>
        <w:t xml:space="preserve">no está sujeta a este impuesto la herencia recibida del cónyuge, la herencia de un padre a la muerte de su hijo, una herencia para fines públicos, así como la adquisición de la vivienda habitual para el beneficiario que ocupó la casa como su residencia principal durante tres años antes de la sucesión y continúa ocupándola como su residencia habitual por otros seis años.  </w:t>
      </w:r>
    </w:p>
    <w:p w:rsidR="003126CE" w:rsidRPr="002C13F3" w:rsidRDefault="003126CE" w:rsidP="002D11BC">
      <w:pPr>
        <w:pStyle w:val="HTMLconformatoprevio"/>
        <w:spacing w:after="240" w:line="360" w:lineRule="auto"/>
        <w:jc w:val="both"/>
        <w:rPr>
          <w:rFonts w:ascii="Century" w:hAnsi="Century"/>
          <w:sz w:val="24"/>
          <w:szCs w:val="24"/>
        </w:rPr>
      </w:pPr>
      <w:r w:rsidRPr="002C13F3">
        <w:rPr>
          <w:rFonts w:ascii="Century" w:hAnsi="Century"/>
          <w:sz w:val="24"/>
          <w:szCs w:val="24"/>
        </w:rPr>
        <w:tab/>
        <w:t xml:space="preserve">El Estado </w:t>
      </w:r>
      <w:r w:rsidR="00ED48CA" w:rsidRPr="002C13F3">
        <w:rPr>
          <w:rFonts w:ascii="Century" w:hAnsi="Century"/>
          <w:sz w:val="24"/>
          <w:szCs w:val="24"/>
        </w:rPr>
        <w:t>italiano derogó el 25</w:t>
      </w:r>
      <w:r w:rsidRPr="002C13F3">
        <w:rPr>
          <w:rFonts w:ascii="Century" w:hAnsi="Century"/>
          <w:sz w:val="24"/>
          <w:szCs w:val="24"/>
        </w:rPr>
        <w:t xml:space="preserve"> de octubre de 2001 el impuesto sobre las </w:t>
      </w:r>
      <w:r w:rsidR="00487A37">
        <w:rPr>
          <w:rFonts w:ascii="Century" w:hAnsi="Century"/>
          <w:sz w:val="24"/>
          <w:szCs w:val="24"/>
        </w:rPr>
        <w:t>sucesiones</w:t>
      </w:r>
      <w:r w:rsidRPr="002C13F3">
        <w:rPr>
          <w:rFonts w:ascii="Century" w:hAnsi="Century"/>
          <w:sz w:val="24"/>
          <w:szCs w:val="24"/>
        </w:rPr>
        <w:t>. La Ley 286/2006</w:t>
      </w:r>
      <w:r w:rsidR="00487A37">
        <w:rPr>
          <w:rFonts w:ascii="Century" w:hAnsi="Century"/>
          <w:sz w:val="24"/>
          <w:szCs w:val="24"/>
        </w:rPr>
        <w:t>,</w:t>
      </w:r>
      <w:r w:rsidRPr="002C13F3">
        <w:rPr>
          <w:rFonts w:ascii="Century" w:hAnsi="Century"/>
          <w:sz w:val="24"/>
          <w:szCs w:val="24"/>
        </w:rPr>
        <w:t xml:space="preserve"> de 29 de noviembre de 2006 volvió a</w:t>
      </w:r>
      <w:r w:rsidR="00487A37">
        <w:rPr>
          <w:rFonts w:ascii="Century" w:hAnsi="Century"/>
          <w:sz w:val="24"/>
          <w:szCs w:val="24"/>
        </w:rPr>
        <w:t xml:space="preserve"> regular</w:t>
      </w:r>
      <w:r w:rsidR="00867913">
        <w:rPr>
          <w:rFonts w:ascii="Century" w:hAnsi="Century"/>
          <w:sz w:val="24"/>
          <w:szCs w:val="24"/>
        </w:rPr>
        <w:t>lo</w:t>
      </w:r>
      <w:r w:rsidRPr="002C13F3">
        <w:rPr>
          <w:rFonts w:ascii="Century" w:hAnsi="Century"/>
          <w:sz w:val="24"/>
          <w:szCs w:val="24"/>
        </w:rPr>
        <w:t xml:space="preserve"> con vigencia a </w:t>
      </w:r>
      <w:r w:rsidR="00487A37">
        <w:rPr>
          <w:rFonts w:ascii="Century" w:hAnsi="Century"/>
          <w:sz w:val="24"/>
          <w:szCs w:val="24"/>
        </w:rPr>
        <w:t>partir del 3 de octubre de 2006, que</w:t>
      </w:r>
      <w:r w:rsidRPr="002C13F3">
        <w:rPr>
          <w:rFonts w:ascii="Century" w:hAnsi="Century"/>
          <w:sz w:val="24"/>
          <w:szCs w:val="24"/>
        </w:rPr>
        <w:t xml:space="preserve"> introdujo cambios menores en la aplicación del impuesto y en los tipos impositivos aplicables. El criterio de sujeción es </w:t>
      </w:r>
      <w:r w:rsidR="00487A37">
        <w:rPr>
          <w:rFonts w:ascii="Century" w:hAnsi="Century"/>
          <w:sz w:val="24"/>
          <w:szCs w:val="24"/>
        </w:rPr>
        <w:t xml:space="preserve">el de la residencia, y así, una </w:t>
      </w:r>
      <w:r w:rsidRPr="002C13F3">
        <w:rPr>
          <w:rFonts w:ascii="Century" w:hAnsi="Century"/>
          <w:sz w:val="24"/>
          <w:szCs w:val="24"/>
        </w:rPr>
        <w:t>persona</w:t>
      </w:r>
      <w:r w:rsidR="00487A37">
        <w:rPr>
          <w:rFonts w:ascii="Century" w:hAnsi="Century"/>
          <w:sz w:val="24"/>
          <w:szCs w:val="24"/>
        </w:rPr>
        <w:t xml:space="preserve"> física</w:t>
      </w:r>
      <w:r w:rsidRPr="002C13F3">
        <w:rPr>
          <w:rFonts w:ascii="Century" w:hAnsi="Century"/>
          <w:sz w:val="24"/>
          <w:szCs w:val="24"/>
        </w:rPr>
        <w:t xml:space="preserve"> se considera residente en Italia a efectos fiscales si, durante la mayor parte del período impositivo (más de 183 días </w:t>
      </w:r>
      <w:r w:rsidR="008015B3">
        <w:rPr>
          <w:rFonts w:ascii="Century" w:hAnsi="Century"/>
          <w:sz w:val="24"/>
          <w:szCs w:val="24"/>
        </w:rPr>
        <w:t>en el año natural) cumple alguno de lo</w:t>
      </w:r>
      <w:r w:rsidRPr="002C13F3">
        <w:rPr>
          <w:rFonts w:ascii="Century" w:hAnsi="Century"/>
          <w:sz w:val="24"/>
          <w:szCs w:val="24"/>
        </w:rPr>
        <w:t xml:space="preserve">s siguientes </w:t>
      </w:r>
      <w:r w:rsidR="008015B3">
        <w:rPr>
          <w:rFonts w:ascii="Century" w:hAnsi="Century"/>
          <w:sz w:val="24"/>
          <w:szCs w:val="24"/>
        </w:rPr>
        <w:t>requisitos</w:t>
      </w:r>
      <w:r w:rsidRPr="00514069">
        <w:rPr>
          <w:rFonts w:asciiTheme="minorHAnsi" w:hAnsiTheme="minorHAnsi" w:cstheme="minorHAnsi"/>
          <w:sz w:val="24"/>
          <w:szCs w:val="24"/>
        </w:rPr>
        <w:t>:</w:t>
      </w:r>
      <w:r w:rsidRPr="002C13F3">
        <w:rPr>
          <w:rFonts w:ascii="Century" w:hAnsi="Century"/>
          <w:sz w:val="24"/>
          <w:szCs w:val="24"/>
        </w:rPr>
        <w:t xml:space="preserve"> estar inscrito en el </w:t>
      </w:r>
      <w:r w:rsidR="00487A37">
        <w:rPr>
          <w:rFonts w:ascii="Century" w:hAnsi="Century"/>
          <w:sz w:val="24"/>
          <w:szCs w:val="24"/>
        </w:rPr>
        <w:t>registro de población residente o</w:t>
      </w:r>
      <w:r w:rsidRPr="002C13F3">
        <w:rPr>
          <w:rFonts w:ascii="Century" w:hAnsi="Century"/>
          <w:sz w:val="24"/>
          <w:szCs w:val="24"/>
        </w:rPr>
        <w:t xml:space="preserve"> tener su domicilio</w:t>
      </w:r>
      <w:r w:rsidR="00487A37">
        <w:rPr>
          <w:rFonts w:ascii="Century" w:hAnsi="Century"/>
          <w:sz w:val="24"/>
          <w:szCs w:val="24"/>
        </w:rPr>
        <w:t>,</w:t>
      </w:r>
      <w:r w:rsidRPr="002C13F3">
        <w:rPr>
          <w:rFonts w:ascii="Century" w:hAnsi="Century"/>
          <w:sz w:val="24"/>
          <w:szCs w:val="24"/>
        </w:rPr>
        <w:t xml:space="preserve"> o su residencia habitual en este territorio. Este impuesto se aplica a los activos mundia</w:t>
      </w:r>
      <w:r w:rsidR="00487A37">
        <w:rPr>
          <w:rFonts w:ascii="Century" w:hAnsi="Century"/>
          <w:sz w:val="24"/>
          <w:szCs w:val="24"/>
        </w:rPr>
        <w:t>les de los residentes italianos, m</w:t>
      </w:r>
      <w:r w:rsidRPr="002C13F3">
        <w:rPr>
          <w:rFonts w:ascii="Century" w:hAnsi="Century"/>
          <w:sz w:val="24"/>
          <w:szCs w:val="24"/>
        </w:rPr>
        <w:t>ientras que los activos existentes sólo en Italia están sujetos al impuesto si el fallecido no es residente italiano en el momento del fallecimiento. El tipo impositivo es del 4 por ciento, para los cónyuges, descendientes y ascendientes,</w:t>
      </w:r>
      <w:r w:rsidR="00487A37">
        <w:rPr>
          <w:rFonts w:ascii="Century" w:hAnsi="Century"/>
          <w:sz w:val="24"/>
          <w:szCs w:val="24"/>
        </w:rPr>
        <w:t xml:space="preserve"> aplicable</w:t>
      </w:r>
      <w:r w:rsidRPr="002C13F3">
        <w:rPr>
          <w:rFonts w:ascii="Century" w:hAnsi="Century"/>
          <w:sz w:val="24"/>
          <w:szCs w:val="24"/>
        </w:rPr>
        <w:t xml:space="preserve"> sobre el valor total de los activos</w:t>
      </w:r>
      <w:r w:rsidR="00487A37">
        <w:rPr>
          <w:rFonts w:ascii="Century" w:hAnsi="Century"/>
          <w:sz w:val="24"/>
          <w:szCs w:val="24"/>
        </w:rPr>
        <w:t>,</w:t>
      </w:r>
      <w:r w:rsidRPr="002C13F3">
        <w:rPr>
          <w:rFonts w:ascii="Century" w:hAnsi="Century"/>
          <w:sz w:val="24"/>
          <w:szCs w:val="24"/>
        </w:rPr>
        <w:t xml:space="preserve"> con un umbral exento de un millón de euros por cada heredero. No establece </w:t>
      </w:r>
      <w:r w:rsidR="005D4710" w:rsidRPr="002C13F3">
        <w:rPr>
          <w:rFonts w:ascii="Century" w:hAnsi="Century"/>
          <w:sz w:val="24"/>
          <w:szCs w:val="24"/>
        </w:rPr>
        <w:t>beneficios fiscales</w:t>
      </w:r>
      <w:r w:rsidRPr="002C13F3">
        <w:rPr>
          <w:rFonts w:ascii="Century" w:hAnsi="Century"/>
          <w:sz w:val="24"/>
          <w:szCs w:val="24"/>
        </w:rPr>
        <w:t xml:space="preserve"> para</w:t>
      </w:r>
      <w:r w:rsidR="006E21DE">
        <w:rPr>
          <w:rFonts w:ascii="Century" w:hAnsi="Century"/>
          <w:sz w:val="24"/>
          <w:szCs w:val="24"/>
        </w:rPr>
        <w:t xml:space="preserve"> esta clase de parientes, por ser los tipos aplicables</w:t>
      </w:r>
      <w:r w:rsidRPr="002C13F3">
        <w:rPr>
          <w:rFonts w:ascii="Century" w:hAnsi="Century"/>
          <w:sz w:val="24"/>
          <w:szCs w:val="24"/>
        </w:rPr>
        <w:t xml:space="preserve"> muy bajos.</w:t>
      </w:r>
    </w:p>
    <w:p w:rsidR="003126CE" w:rsidRPr="002C13F3" w:rsidRDefault="003126CE" w:rsidP="002D11BC">
      <w:pPr>
        <w:pStyle w:val="HTMLconformatoprevio"/>
        <w:tabs>
          <w:tab w:val="clear" w:pos="916"/>
          <w:tab w:val="left" w:pos="709"/>
        </w:tabs>
        <w:spacing w:after="240" w:line="360" w:lineRule="auto"/>
        <w:jc w:val="both"/>
        <w:rPr>
          <w:rFonts w:ascii="Century" w:eastAsiaTheme="minorHAnsi" w:hAnsi="Century" w:cstheme="minorBidi"/>
          <w:sz w:val="24"/>
          <w:szCs w:val="24"/>
          <w:lang w:eastAsia="en-US"/>
        </w:rPr>
      </w:pPr>
      <w:r w:rsidRPr="002C13F3">
        <w:rPr>
          <w:rFonts w:ascii="Century" w:hAnsi="Century"/>
          <w:sz w:val="24"/>
          <w:szCs w:val="24"/>
        </w:rPr>
        <w:tab/>
      </w:r>
      <w:r w:rsidRPr="002C13F3">
        <w:rPr>
          <w:rFonts w:ascii="Century" w:eastAsiaTheme="minorHAnsi" w:hAnsi="Century" w:cstheme="minorBidi"/>
          <w:sz w:val="24"/>
          <w:szCs w:val="24"/>
          <w:lang w:eastAsia="en-US"/>
        </w:rPr>
        <w:t xml:space="preserve">En Luxemburgo, el impuesto grava el </w:t>
      </w:r>
      <w:r w:rsidR="00093238" w:rsidRPr="002C13F3">
        <w:rPr>
          <w:rFonts w:ascii="Century" w:eastAsiaTheme="minorHAnsi" w:hAnsi="Century" w:cstheme="minorBidi"/>
          <w:sz w:val="24"/>
          <w:szCs w:val="24"/>
          <w:lang w:eastAsia="en-US"/>
        </w:rPr>
        <w:t>total de bienes</w:t>
      </w:r>
      <w:r w:rsidRPr="002C13F3">
        <w:rPr>
          <w:rFonts w:ascii="Century" w:eastAsiaTheme="minorHAnsi" w:hAnsi="Century" w:cstheme="minorBidi"/>
          <w:sz w:val="24"/>
          <w:szCs w:val="24"/>
          <w:lang w:eastAsia="en-US"/>
        </w:rPr>
        <w:t xml:space="preserve"> del causante </w:t>
      </w:r>
      <w:r w:rsidR="003C0B5C">
        <w:rPr>
          <w:rFonts w:ascii="Century" w:eastAsiaTheme="minorHAnsi" w:hAnsi="Century" w:cstheme="minorBidi"/>
          <w:sz w:val="24"/>
          <w:szCs w:val="24"/>
          <w:lang w:eastAsia="en-US"/>
        </w:rPr>
        <w:t xml:space="preserve">situados en dicho territorio </w:t>
      </w:r>
      <w:r w:rsidRPr="002C13F3">
        <w:rPr>
          <w:rFonts w:ascii="Century" w:eastAsiaTheme="minorHAnsi" w:hAnsi="Century" w:cstheme="minorBidi"/>
          <w:sz w:val="24"/>
          <w:szCs w:val="24"/>
          <w:lang w:eastAsia="en-US"/>
        </w:rPr>
        <w:t>en el mome</w:t>
      </w:r>
      <w:r w:rsidR="003C0B5C">
        <w:rPr>
          <w:rFonts w:ascii="Century" w:eastAsiaTheme="minorHAnsi" w:hAnsi="Century" w:cstheme="minorBidi"/>
          <w:sz w:val="24"/>
          <w:szCs w:val="24"/>
          <w:lang w:eastAsia="en-US"/>
        </w:rPr>
        <w:t>nto de su fallecimiento, exceptuando</w:t>
      </w:r>
      <w:r w:rsidRPr="002C13F3">
        <w:rPr>
          <w:rFonts w:ascii="Century" w:eastAsiaTheme="minorHAnsi" w:hAnsi="Century" w:cstheme="minorBidi"/>
          <w:sz w:val="24"/>
          <w:szCs w:val="24"/>
          <w:lang w:eastAsia="en-US"/>
        </w:rPr>
        <w:t xml:space="preserve"> los bienes ubicados en el extranjero. Según la legislación luxemburguesa, se </w:t>
      </w:r>
      <w:r w:rsidRPr="002C13F3">
        <w:rPr>
          <w:rFonts w:ascii="Century" w:eastAsiaTheme="minorHAnsi" w:hAnsi="Century" w:cstheme="minorBidi"/>
          <w:sz w:val="24"/>
          <w:szCs w:val="24"/>
          <w:lang w:eastAsia="en-US"/>
        </w:rPr>
        <w:lastRenderedPageBreak/>
        <w:t>considera que una persona es residente si tiene su domicilio o el centro de sus actividades en este Estado. El domicilio fiscal es el lugar donde ha establecido su residencia permanente, mientras que el centro de sus actividades es el lugar desde el que gestiona o supervisa sus bienes.</w:t>
      </w:r>
      <w:r w:rsidR="00250F57" w:rsidRPr="002C13F3">
        <w:rPr>
          <w:rFonts w:ascii="Century" w:eastAsiaTheme="minorHAnsi" w:hAnsi="Century" w:cstheme="minorBidi"/>
          <w:sz w:val="24"/>
          <w:szCs w:val="24"/>
          <w:lang w:eastAsia="en-US"/>
        </w:rPr>
        <w:t xml:space="preserve"> </w:t>
      </w:r>
      <w:r w:rsidRPr="002C13F3">
        <w:rPr>
          <w:rFonts w:ascii="Century" w:eastAsiaTheme="minorHAnsi" w:hAnsi="Century" w:cstheme="minorBidi"/>
          <w:sz w:val="24"/>
          <w:szCs w:val="24"/>
          <w:lang w:eastAsia="en-US"/>
        </w:rPr>
        <w:t>La herencia se grava a unos tipos impositivos muy bajos, dependiente del grado de relación entre el causante y el heredero. Para el cónyuge se aplica un tipo de gravamen del 0 por ciento, mientras que para los ascendientes y descendientes varía entre el 0 al 5 por ciento.</w:t>
      </w:r>
      <w:r w:rsidR="003C0B5C">
        <w:rPr>
          <w:rFonts w:ascii="Century" w:eastAsiaTheme="minorHAnsi" w:hAnsi="Century" w:cstheme="minorBidi"/>
          <w:sz w:val="24"/>
          <w:szCs w:val="24"/>
          <w:lang w:eastAsia="en-US"/>
        </w:rPr>
        <w:t xml:space="preserve"> R</w:t>
      </w:r>
      <w:r w:rsidRPr="002C13F3">
        <w:rPr>
          <w:rFonts w:ascii="Century" w:eastAsiaTheme="minorHAnsi" w:hAnsi="Century" w:cstheme="minorBidi"/>
          <w:sz w:val="24"/>
          <w:szCs w:val="24"/>
          <w:lang w:eastAsia="en-US"/>
        </w:rPr>
        <w:t>especto a los beneficios fiscales, no</w:t>
      </w:r>
      <w:r w:rsidR="003C0B5C">
        <w:rPr>
          <w:rFonts w:ascii="Century" w:eastAsiaTheme="minorHAnsi" w:hAnsi="Century" w:cstheme="minorBidi"/>
          <w:sz w:val="24"/>
          <w:szCs w:val="24"/>
          <w:lang w:eastAsia="en-US"/>
        </w:rPr>
        <w:t xml:space="preserve"> se</w:t>
      </w:r>
      <w:r w:rsidRPr="002C13F3">
        <w:rPr>
          <w:rFonts w:ascii="Century" w:eastAsiaTheme="minorHAnsi" w:hAnsi="Century" w:cstheme="minorBidi"/>
          <w:sz w:val="24"/>
          <w:szCs w:val="24"/>
          <w:lang w:eastAsia="en-US"/>
        </w:rPr>
        <w:t xml:space="preserve"> establece</w:t>
      </w:r>
      <w:r w:rsidR="003C0B5C">
        <w:rPr>
          <w:rFonts w:ascii="Century" w:eastAsiaTheme="minorHAnsi" w:hAnsi="Century" w:cstheme="minorBidi"/>
          <w:sz w:val="24"/>
          <w:szCs w:val="24"/>
          <w:lang w:eastAsia="en-US"/>
        </w:rPr>
        <w:t>n</w:t>
      </w:r>
      <w:r w:rsidRPr="002C13F3">
        <w:rPr>
          <w:rFonts w:ascii="Century" w:eastAsiaTheme="minorHAnsi" w:hAnsi="Century" w:cstheme="minorBidi"/>
          <w:sz w:val="24"/>
          <w:szCs w:val="24"/>
          <w:lang w:eastAsia="en-US"/>
        </w:rPr>
        <w:t xml:space="preserve"> reducciones para los citados parientes, pero</w:t>
      </w:r>
      <w:r w:rsidR="003C0B5C">
        <w:rPr>
          <w:rFonts w:ascii="Century" w:eastAsiaTheme="minorHAnsi" w:hAnsi="Century" w:cstheme="minorBidi"/>
          <w:sz w:val="24"/>
          <w:szCs w:val="24"/>
          <w:lang w:eastAsia="en-US"/>
        </w:rPr>
        <w:t xml:space="preserve"> se</w:t>
      </w:r>
      <w:r w:rsidRPr="002C13F3">
        <w:rPr>
          <w:rFonts w:ascii="Century" w:eastAsiaTheme="minorHAnsi" w:hAnsi="Century" w:cstheme="minorBidi"/>
          <w:sz w:val="24"/>
          <w:szCs w:val="24"/>
          <w:lang w:eastAsia="en-US"/>
        </w:rPr>
        <w:t xml:space="preserve"> considera</w:t>
      </w:r>
      <w:r w:rsidR="003C0B5C">
        <w:rPr>
          <w:rFonts w:ascii="Century" w:eastAsiaTheme="minorHAnsi" w:hAnsi="Century" w:cstheme="minorBidi"/>
          <w:sz w:val="24"/>
          <w:szCs w:val="24"/>
          <w:lang w:eastAsia="en-US"/>
        </w:rPr>
        <w:t>n</w:t>
      </w:r>
      <w:r w:rsidRPr="002C13F3">
        <w:rPr>
          <w:rFonts w:ascii="Century" w:eastAsiaTheme="minorHAnsi" w:hAnsi="Century" w:cstheme="minorBidi"/>
          <w:sz w:val="24"/>
          <w:szCs w:val="24"/>
          <w:lang w:eastAsia="en-US"/>
        </w:rPr>
        <w:t xml:space="preserve"> una serie de exenciones, como</w:t>
      </w:r>
      <w:r w:rsidR="003C0B5C">
        <w:rPr>
          <w:rFonts w:ascii="Century" w:eastAsiaTheme="minorHAnsi" w:hAnsi="Century" w:cstheme="minorBidi"/>
          <w:sz w:val="24"/>
          <w:szCs w:val="24"/>
          <w:lang w:eastAsia="en-US"/>
        </w:rPr>
        <w:t xml:space="preserve"> la relativa a los</w:t>
      </w:r>
      <w:r w:rsidRPr="002C13F3">
        <w:rPr>
          <w:rFonts w:ascii="Century" w:eastAsiaTheme="minorHAnsi" w:hAnsi="Century" w:cstheme="minorBidi"/>
          <w:sz w:val="24"/>
          <w:szCs w:val="24"/>
          <w:lang w:eastAsia="en-US"/>
        </w:rPr>
        <w:t xml:space="preserve"> activos hasta un máximo de 38.000 euros </w:t>
      </w:r>
      <w:r w:rsidR="003C0B5C">
        <w:rPr>
          <w:rFonts w:ascii="Century" w:eastAsiaTheme="minorHAnsi" w:hAnsi="Century" w:cstheme="minorBidi"/>
          <w:sz w:val="24"/>
          <w:szCs w:val="24"/>
          <w:lang w:eastAsia="en-US"/>
        </w:rPr>
        <w:t>obtenidos por e</w:t>
      </w:r>
      <w:r w:rsidRPr="002C13F3">
        <w:rPr>
          <w:rFonts w:ascii="Century" w:eastAsiaTheme="minorHAnsi" w:hAnsi="Century" w:cstheme="minorBidi"/>
          <w:sz w:val="24"/>
          <w:szCs w:val="24"/>
          <w:lang w:eastAsia="en-US"/>
        </w:rPr>
        <w:t xml:space="preserve">l cónyuge </w:t>
      </w:r>
      <w:r w:rsidR="003C0B5C">
        <w:rPr>
          <w:rFonts w:ascii="Century" w:eastAsiaTheme="minorHAnsi" w:hAnsi="Century" w:cstheme="minorBidi"/>
          <w:sz w:val="24"/>
          <w:szCs w:val="24"/>
          <w:lang w:eastAsia="en-US"/>
        </w:rPr>
        <w:t xml:space="preserve">que </w:t>
      </w:r>
      <w:r w:rsidRPr="002C13F3">
        <w:rPr>
          <w:rFonts w:ascii="Century" w:eastAsiaTheme="minorHAnsi" w:hAnsi="Century" w:cstheme="minorBidi"/>
          <w:sz w:val="24"/>
          <w:szCs w:val="24"/>
          <w:lang w:eastAsia="en-US"/>
        </w:rPr>
        <w:t>quedan exentos en caso de que no tengan hijos comunes. También resulta exenta la herencia recibida por los herederos directos, así como cualquier herencia entre cónyuges registrados por más de tres años y</w:t>
      </w:r>
      <w:r w:rsidR="003C0B5C">
        <w:rPr>
          <w:rFonts w:ascii="Century" w:eastAsiaTheme="minorHAnsi" w:hAnsi="Century" w:cstheme="minorBidi"/>
          <w:sz w:val="24"/>
          <w:szCs w:val="24"/>
          <w:lang w:eastAsia="en-US"/>
        </w:rPr>
        <w:t xml:space="preserve"> que</w:t>
      </w:r>
      <w:r w:rsidRPr="002C13F3">
        <w:rPr>
          <w:rFonts w:ascii="Century" w:eastAsiaTheme="minorHAnsi" w:hAnsi="Century" w:cstheme="minorBidi"/>
          <w:sz w:val="24"/>
          <w:szCs w:val="24"/>
          <w:lang w:eastAsia="en-US"/>
        </w:rPr>
        <w:t xml:space="preserve"> tengan por lo menos un niño en común. </w:t>
      </w:r>
      <w:r w:rsidR="003C0B5C">
        <w:rPr>
          <w:rFonts w:ascii="Century" w:eastAsiaTheme="minorHAnsi" w:hAnsi="Century" w:cstheme="minorBidi"/>
          <w:sz w:val="24"/>
          <w:szCs w:val="24"/>
          <w:lang w:eastAsia="en-US"/>
        </w:rPr>
        <w:t>Y a</w:t>
      </w:r>
      <w:r w:rsidRPr="002C13F3">
        <w:rPr>
          <w:rFonts w:ascii="Century" w:eastAsiaTheme="minorHAnsi" w:hAnsi="Century" w:cstheme="minorBidi"/>
          <w:sz w:val="24"/>
          <w:szCs w:val="24"/>
          <w:lang w:eastAsia="en-US"/>
        </w:rPr>
        <w:t>demás queda exenta cualquier herencia si su valor neto no supera los 1.250 euros. Los bienes inmuebles situados en e</w:t>
      </w:r>
      <w:r w:rsidR="005D4710" w:rsidRPr="002C13F3">
        <w:rPr>
          <w:rFonts w:ascii="Century" w:eastAsiaTheme="minorHAnsi" w:hAnsi="Century" w:cstheme="minorBidi"/>
          <w:sz w:val="24"/>
          <w:szCs w:val="24"/>
          <w:lang w:eastAsia="en-US"/>
        </w:rPr>
        <w:t>l extranjero deben declararse</w:t>
      </w:r>
      <w:r w:rsidRPr="002C13F3">
        <w:rPr>
          <w:rFonts w:ascii="Century" w:eastAsiaTheme="minorHAnsi" w:hAnsi="Century" w:cstheme="minorBidi"/>
          <w:sz w:val="24"/>
          <w:szCs w:val="24"/>
          <w:lang w:eastAsia="en-US"/>
        </w:rPr>
        <w:t xml:space="preserve"> pero quedan totalmente exentos.</w:t>
      </w:r>
    </w:p>
    <w:p w:rsidR="003126CE" w:rsidRPr="002C13F3" w:rsidRDefault="003126CE" w:rsidP="002D11BC">
      <w:pPr>
        <w:pStyle w:val="HTMLconformatoprevio"/>
        <w:tabs>
          <w:tab w:val="clear" w:pos="916"/>
          <w:tab w:val="left" w:pos="709"/>
        </w:tabs>
        <w:spacing w:after="240" w:line="360" w:lineRule="auto"/>
        <w:jc w:val="both"/>
        <w:rPr>
          <w:rFonts w:ascii="Century" w:eastAsiaTheme="minorHAnsi" w:hAnsi="Century" w:cstheme="minorBidi"/>
          <w:sz w:val="24"/>
          <w:szCs w:val="24"/>
          <w:lang w:eastAsia="en-US"/>
        </w:rPr>
      </w:pPr>
      <w:r w:rsidRPr="002C13F3">
        <w:rPr>
          <w:rFonts w:ascii="Century" w:eastAsiaTheme="minorHAnsi" w:hAnsi="Century" w:cstheme="minorBidi"/>
          <w:sz w:val="24"/>
          <w:szCs w:val="24"/>
          <w:lang w:eastAsia="en-US"/>
        </w:rPr>
        <w:tab/>
      </w:r>
      <w:r w:rsidRPr="002C13F3">
        <w:rPr>
          <w:rFonts w:ascii="Century" w:hAnsi="Century"/>
          <w:sz w:val="24"/>
          <w:szCs w:val="24"/>
        </w:rPr>
        <w:t>En los Países Bajos, el impuesto se rige por el</w:t>
      </w:r>
      <w:r w:rsidR="00922993">
        <w:rPr>
          <w:rFonts w:ascii="Century" w:hAnsi="Century"/>
          <w:sz w:val="24"/>
          <w:szCs w:val="24"/>
        </w:rPr>
        <w:t xml:space="preserve"> doble</w:t>
      </w:r>
      <w:r w:rsidRPr="002C13F3">
        <w:rPr>
          <w:rFonts w:ascii="Century" w:hAnsi="Century"/>
          <w:sz w:val="24"/>
          <w:szCs w:val="24"/>
        </w:rPr>
        <w:t xml:space="preserve"> criterio de</w:t>
      </w:r>
      <w:r w:rsidR="00922993">
        <w:rPr>
          <w:rFonts w:ascii="Century" w:hAnsi="Century"/>
          <w:sz w:val="24"/>
          <w:szCs w:val="24"/>
        </w:rPr>
        <w:t xml:space="preserve"> la</w:t>
      </w:r>
      <w:r w:rsidRPr="002C13F3">
        <w:rPr>
          <w:rFonts w:ascii="Century" w:hAnsi="Century"/>
          <w:sz w:val="24"/>
          <w:szCs w:val="24"/>
        </w:rPr>
        <w:t xml:space="preserve"> residencia y</w:t>
      </w:r>
      <w:r w:rsidR="00922993">
        <w:rPr>
          <w:rFonts w:ascii="Century" w:hAnsi="Century"/>
          <w:sz w:val="24"/>
          <w:szCs w:val="24"/>
        </w:rPr>
        <w:t xml:space="preserve"> la</w:t>
      </w:r>
      <w:r w:rsidRPr="002C13F3">
        <w:rPr>
          <w:rFonts w:ascii="Century" w:hAnsi="Century"/>
          <w:sz w:val="24"/>
          <w:szCs w:val="24"/>
        </w:rPr>
        <w:t xml:space="preserve"> nacionalidad. Este impuesto </w:t>
      </w:r>
      <w:r w:rsidR="00922993">
        <w:rPr>
          <w:rFonts w:ascii="Century" w:hAnsi="Century"/>
          <w:sz w:val="24"/>
          <w:szCs w:val="24"/>
        </w:rPr>
        <w:t xml:space="preserve">sujeta a gravamen </w:t>
      </w:r>
      <w:r w:rsidRPr="002C13F3">
        <w:rPr>
          <w:rFonts w:ascii="Century" w:hAnsi="Century"/>
          <w:sz w:val="24"/>
          <w:szCs w:val="24"/>
        </w:rPr>
        <w:t xml:space="preserve">a todos los bienes </w:t>
      </w:r>
      <w:r w:rsidR="00922993">
        <w:rPr>
          <w:rFonts w:ascii="Century" w:hAnsi="Century"/>
          <w:sz w:val="24"/>
          <w:szCs w:val="24"/>
        </w:rPr>
        <w:t>del causante ubicados en</w:t>
      </w:r>
      <w:r w:rsidRPr="002C13F3">
        <w:rPr>
          <w:rFonts w:ascii="Century" w:hAnsi="Century"/>
          <w:sz w:val="24"/>
          <w:szCs w:val="24"/>
        </w:rPr>
        <w:t xml:space="preserve"> el mundo </w:t>
      </w:r>
      <w:r w:rsidR="00922993">
        <w:rPr>
          <w:rFonts w:ascii="Century" w:hAnsi="Century"/>
          <w:sz w:val="24"/>
          <w:szCs w:val="24"/>
        </w:rPr>
        <w:t xml:space="preserve">cuando éste </w:t>
      </w:r>
      <w:r w:rsidRPr="002C13F3">
        <w:rPr>
          <w:rFonts w:ascii="Century" w:hAnsi="Century"/>
          <w:sz w:val="24"/>
          <w:szCs w:val="24"/>
        </w:rPr>
        <w:t>fuera residente en el momento de su fallecimiento. Las personas que tienen nacionalidad holandesa se consideran</w:t>
      </w:r>
      <w:r w:rsidR="00922993">
        <w:rPr>
          <w:rFonts w:ascii="Century" w:hAnsi="Century"/>
          <w:sz w:val="24"/>
          <w:szCs w:val="24"/>
        </w:rPr>
        <w:t xml:space="preserve"> además</w:t>
      </w:r>
      <w:r w:rsidRPr="002C13F3">
        <w:rPr>
          <w:rFonts w:ascii="Century" w:hAnsi="Century"/>
          <w:sz w:val="24"/>
          <w:szCs w:val="24"/>
        </w:rPr>
        <w:t xml:space="preserve"> residentes en este Estado durante un período de diez años después de ha</w:t>
      </w:r>
      <w:r w:rsidR="006E6807">
        <w:rPr>
          <w:rFonts w:ascii="Century" w:hAnsi="Century"/>
          <w:sz w:val="24"/>
          <w:szCs w:val="24"/>
        </w:rPr>
        <w:t xml:space="preserve">ber salido de los Países Bajos. </w:t>
      </w:r>
      <w:r w:rsidRPr="002C13F3">
        <w:rPr>
          <w:rFonts w:ascii="Century" w:hAnsi="Century"/>
          <w:sz w:val="24"/>
          <w:szCs w:val="24"/>
        </w:rPr>
        <w:t xml:space="preserve">Con respecto al tipo impositivo aplicable, para el cónyuge y los hijos se establece entre el 10 y el 20 por ciento para herencias por encima de los </w:t>
      </w:r>
      <w:r w:rsidR="00AF41C6" w:rsidRPr="002C13F3">
        <w:rPr>
          <w:rFonts w:ascii="Century" w:hAnsi="Century"/>
          <w:sz w:val="24"/>
          <w:szCs w:val="24"/>
        </w:rPr>
        <w:t xml:space="preserve">122.269 euros (en 2015 y 2016 era por encima de 121.903 euros, y en 2014 </w:t>
      </w:r>
      <w:r w:rsidRPr="002C13F3">
        <w:rPr>
          <w:rFonts w:ascii="Century" w:hAnsi="Century"/>
          <w:sz w:val="24"/>
          <w:szCs w:val="24"/>
        </w:rPr>
        <w:t>por encima de 117.214 euros).</w:t>
      </w:r>
      <w:r w:rsidR="00307B2E" w:rsidRPr="002C13F3">
        <w:rPr>
          <w:rFonts w:ascii="Century" w:hAnsi="Century"/>
          <w:sz w:val="24"/>
          <w:szCs w:val="24"/>
        </w:rPr>
        <w:t xml:space="preserve"> </w:t>
      </w:r>
      <w:r w:rsidR="00922993">
        <w:rPr>
          <w:rFonts w:ascii="Century" w:eastAsiaTheme="minorHAnsi" w:hAnsi="Century" w:cstheme="minorBidi"/>
          <w:sz w:val="24"/>
          <w:szCs w:val="24"/>
          <w:lang w:eastAsia="en-US"/>
        </w:rPr>
        <w:t>Este Estado</w:t>
      </w:r>
      <w:r w:rsidR="005D4710" w:rsidRPr="002C13F3">
        <w:rPr>
          <w:rFonts w:ascii="Century" w:eastAsiaTheme="minorHAnsi" w:hAnsi="Century" w:cstheme="minorBidi"/>
          <w:sz w:val="24"/>
          <w:szCs w:val="24"/>
          <w:lang w:eastAsia="en-US"/>
        </w:rPr>
        <w:t xml:space="preserve"> establece</w:t>
      </w:r>
      <w:r w:rsidR="00922993">
        <w:rPr>
          <w:rFonts w:ascii="Century" w:eastAsiaTheme="minorHAnsi" w:hAnsi="Century" w:cstheme="minorBidi"/>
          <w:sz w:val="24"/>
          <w:szCs w:val="24"/>
          <w:lang w:eastAsia="en-US"/>
        </w:rPr>
        <w:t xml:space="preserve"> distintos</w:t>
      </w:r>
      <w:r w:rsidR="00B4585D" w:rsidRPr="002C13F3">
        <w:rPr>
          <w:rFonts w:ascii="Century" w:eastAsiaTheme="minorHAnsi" w:hAnsi="Century" w:cstheme="minorBidi"/>
          <w:sz w:val="24"/>
          <w:szCs w:val="24"/>
          <w:lang w:eastAsia="en-US"/>
        </w:rPr>
        <w:t xml:space="preserve"> beneficios fiscales</w:t>
      </w:r>
      <w:r w:rsidR="00922993">
        <w:rPr>
          <w:rFonts w:ascii="Century" w:eastAsiaTheme="minorHAnsi" w:hAnsi="Century" w:cstheme="minorBidi"/>
          <w:sz w:val="24"/>
          <w:szCs w:val="24"/>
          <w:lang w:eastAsia="en-US"/>
        </w:rPr>
        <w:t>. Así, la normativa regula</w:t>
      </w:r>
      <w:r w:rsidR="00922993" w:rsidRPr="00922993">
        <w:rPr>
          <w:rFonts w:asciiTheme="minorHAnsi" w:eastAsiaTheme="minorHAnsi" w:hAnsiTheme="minorHAnsi" w:cstheme="minorHAnsi"/>
          <w:sz w:val="24"/>
          <w:szCs w:val="24"/>
          <w:lang w:eastAsia="en-US"/>
        </w:rPr>
        <w:t>:</w:t>
      </w:r>
      <w:r w:rsidR="00B4585D" w:rsidRPr="002C13F3">
        <w:rPr>
          <w:rFonts w:ascii="Century" w:eastAsiaTheme="minorHAnsi" w:hAnsi="Century" w:cstheme="minorBidi"/>
          <w:sz w:val="24"/>
          <w:szCs w:val="24"/>
          <w:lang w:eastAsia="en-US"/>
        </w:rPr>
        <w:t xml:space="preserve"> </w:t>
      </w:r>
      <w:r w:rsidRPr="002C13F3">
        <w:rPr>
          <w:rFonts w:ascii="Century" w:eastAsiaTheme="minorHAnsi" w:hAnsi="Century" w:cstheme="minorBidi"/>
          <w:sz w:val="24"/>
          <w:szCs w:val="24"/>
          <w:lang w:eastAsia="en-US"/>
        </w:rPr>
        <w:t>una exención mínima de</w:t>
      </w:r>
      <w:r w:rsidR="00AF41C6" w:rsidRPr="002C13F3">
        <w:rPr>
          <w:rFonts w:ascii="Century" w:eastAsiaTheme="minorHAnsi" w:hAnsi="Century" w:cstheme="minorBidi"/>
          <w:sz w:val="24"/>
          <w:szCs w:val="24"/>
          <w:lang w:eastAsia="en-US"/>
        </w:rPr>
        <w:t xml:space="preserve"> 164.348 euros</w:t>
      </w:r>
      <w:r w:rsidRPr="002C13F3">
        <w:rPr>
          <w:rFonts w:ascii="Century" w:eastAsiaTheme="minorHAnsi" w:hAnsi="Century" w:cstheme="minorBidi"/>
          <w:sz w:val="24"/>
          <w:szCs w:val="24"/>
          <w:lang w:eastAsia="en-US"/>
        </w:rPr>
        <w:t xml:space="preserve"> </w:t>
      </w:r>
      <w:r w:rsidR="00AF41C6" w:rsidRPr="002C13F3">
        <w:rPr>
          <w:rFonts w:ascii="Century" w:eastAsiaTheme="minorHAnsi" w:hAnsi="Century" w:cstheme="minorBidi"/>
          <w:sz w:val="24"/>
          <w:szCs w:val="24"/>
          <w:lang w:eastAsia="en-US"/>
        </w:rPr>
        <w:t xml:space="preserve">(resto de años de </w:t>
      </w:r>
      <w:r w:rsidRPr="002C13F3">
        <w:rPr>
          <w:rFonts w:ascii="Century" w:eastAsiaTheme="minorHAnsi" w:hAnsi="Century" w:cstheme="minorBidi"/>
          <w:sz w:val="24"/>
          <w:szCs w:val="24"/>
          <w:lang w:eastAsia="en-US"/>
        </w:rPr>
        <w:t>164.348 euros</w:t>
      </w:r>
      <w:r w:rsidR="00AF41C6" w:rsidRPr="002C13F3">
        <w:rPr>
          <w:rFonts w:ascii="Century" w:eastAsiaTheme="minorHAnsi" w:hAnsi="Century" w:cstheme="minorBidi"/>
          <w:sz w:val="24"/>
          <w:szCs w:val="24"/>
          <w:lang w:eastAsia="en-US"/>
        </w:rPr>
        <w:t>)</w:t>
      </w:r>
      <w:r w:rsidRPr="002C13F3">
        <w:rPr>
          <w:rFonts w:ascii="Century" w:eastAsiaTheme="minorHAnsi" w:hAnsi="Century" w:cstheme="minorBidi"/>
          <w:sz w:val="24"/>
          <w:szCs w:val="24"/>
          <w:lang w:eastAsia="en-US"/>
        </w:rPr>
        <w:t xml:space="preserve"> y </w:t>
      </w:r>
      <w:r w:rsidR="00922993">
        <w:rPr>
          <w:rFonts w:ascii="Century" w:eastAsiaTheme="minorHAnsi" w:hAnsi="Century" w:cstheme="minorBidi"/>
          <w:sz w:val="24"/>
          <w:szCs w:val="24"/>
          <w:lang w:eastAsia="en-US"/>
        </w:rPr>
        <w:t xml:space="preserve">otra </w:t>
      </w:r>
      <w:r w:rsidRPr="002C13F3">
        <w:rPr>
          <w:rFonts w:ascii="Century" w:eastAsiaTheme="minorHAnsi" w:hAnsi="Century" w:cstheme="minorBidi"/>
          <w:sz w:val="24"/>
          <w:szCs w:val="24"/>
          <w:lang w:eastAsia="en-US"/>
        </w:rPr>
        <w:t xml:space="preserve">máxima de </w:t>
      </w:r>
      <w:r w:rsidR="00AF41C6" w:rsidRPr="002C13F3">
        <w:rPr>
          <w:rFonts w:ascii="Century" w:eastAsiaTheme="minorHAnsi" w:hAnsi="Century" w:cstheme="minorBidi"/>
          <w:sz w:val="24"/>
          <w:szCs w:val="24"/>
          <w:lang w:eastAsia="en-US"/>
        </w:rPr>
        <w:t xml:space="preserve">638.089 euros (resto de años de </w:t>
      </w:r>
      <w:r w:rsidRPr="002C13F3">
        <w:rPr>
          <w:rFonts w:ascii="Century" w:eastAsiaTheme="minorHAnsi" w:hAnsi="Century" w:cstheme="minorBidi"/>
          <w:sz w:val="24"/>
          <w:szCs w:val="24"/>
          <w:lang w:eastAsia="en-US"/>
        </w:rPr>
        <w:t>636.180 euros</w:t>
      </w:r>
      <w:r w:rsidR="00AF41C6" w:rsidRPr="002C13F3">
        <w:rPr>
          <w:rFonts w:ascii="Century" w:eastAsiaTheme="minorHAnsi" w:hAnsi="Century" w:cstheme="minorBidi"/>
          <w:sz w:val="24"/>
          <w:szCs w:val="24"/>
          <w:lang w:eastAsia="en-US"/>
        </w:rPr>
        <w:t>)</w:t>
      </w:r>
      <w:r w:rsidRPr="002C13F3">
        <w:rPr>
          <w:rFonts w:ascii="Century" w:eastAsiaTheme="minorHAnsi" w:hAnsi="Century" w:cstheme="minorBidi"/>
          <w:sz w:val="24"/>
          <w:szCs w:val="24"/>
          <w:lang w:eastAsia="en-US"/>
        </w:rPr>
        <w:t xml:space="preserve"> para las her</w:t>
      </w:r>
      <w:r w:rsidR="00922993">
        <w:rPr>
          <w:rFonts w:ascii="Century" w:eastAsiaTheme="minorHAnsi" w:hAnsi="Century" w:cstheme="minorBidi"/>
          <w:sz w:val="24"/>
          <w:szCs w:val="24"/>
          <w:lang w:eastAsia="en-US"/>
        </w:rPr>
        <w:t>encias recibidas por el cónyuge</w:t>
      </w:r>
      <w:r w:rsidR="00922993" w:rsidRPr="00922993">
        <w:rPr>
          <w:rFonts w:asciiTheme="minorHAnsi" w:eastAsiaTheme="minorHAnsi" w:hAnsiTheme="minorHAnsi" w:cstheme="minorHAnsi"/>
          <w:sz w:val="24"/>
          <w:szCs w:val="24"/>
          <w:lang w:eastAsia="en-US"/>
        </w:rPr>
        <w:t>;</w:t>
      </w:r>
      <w:r w:rsidRPr="002C13F3">
        <w:rPr>
          <w:rFonts w:ascii="Century" w:eastAsiaTheme="minorHAnsi" w:hAnsi="Century" w:cstheme="minorBidi"/>
          <w:sz w:val="24"/>
          <w:szCs w:val="24"/>
          <w:lang w:eastAsia="en-US"/>
        </w:rPr>
        <w:t xml:space="preserve"> una exención de </w:t>
      </w:r>
      <w:r w:rsidR="00AF41C6" w:rsidRPr="002C13F3">
        <w:rPr>
          <w:rFonts w:ascii="Century" w:eastAsiaTheme="minorHAnsi" w:hAnsi="Century" w:cstheme="minorBidi"/>
          <w:sz w:val="24"/>
          <w:szCs w:val="24"/>
          <w:lang w:eastAsia="en-US"/>
        </w:rPr>
        <w:t xml:space="preserve">60.621 euros (resto de años de </w:t>
      </w:r>
      <w:r w:rsidRPr="002C13F3">
        <w:rPr>
          <w:rFonts w:ascii="Century" w:eastAsiaTheme="minorHAnsi" w:hAnsi="Century" w:cstheme="minorBidi"/>
          <w:sz w:val="24"/>
          <w:szCs w:val="24"/>
          <w:lang w:eastAsia="en-US"/>
        </w:rPr>
        <w:t>60.439 euros</w:t>
      </w:r>
      <w:r w:rsidR="00AF41C6" w:rsidRPr="002C13F3">
        <w:rPr>
          <w:rFonts w:ascii="Century" w:eastAsiaTheme="minorHAnsi" w:hAnsi="Century" w:cstheme="minorBidi"/>
          <w:sz w:val="24"/>
          <w:szCs w:val="24"/>
          <w:lang w:eastAsia="en-US"/>
        </w:rPr>
        <w:t>)</w:t>
      </w:r>
      <w:r w:rsidRPr="002C13F3">
        <w:rPr>
          <w:rFonts w:ascii="Century" w:eastAsiaTheme="minorHAnsi" w:hAnsi="Century" w:cstheme="minorBidi"/>
          <w:sz w:val="24"/>
          <w:szCs w:val="24"/>
          <w:lang w:eastAsia="en-US"/>
        </w:rPr>
        <w:t xml:space="preserve"> para </w:t>
      </w:r>
      <w:r w:rsidR="00922993">
        <w:rPr>
          <w:rFonts w:ascii="Century" w:eastAsiaTheme="minorHAnsi" w:hAnsi="Century" w:cstheme="minorBidi"/>
          <w:sz w:val="24"/>
          <w:szCs w:val="24"/>
          <w:lang w:eastAsia="en-US"/>
        </w:rPr>
        <w:t>hijos enfermos y discapacitados</w:t>
      </w:r>
      <w:r w:rsidR="00922993" w:rsidRPr="00922993">
        <w:rPr>
          <w:rFonts w:asciiTheme="minorHAnsi" w:eastAsiaTheme="minorHAnsi" w:hAnsiTheme="minorHAnsi" w:cstheme="minorHAnsi"/>
          <w:sz w:val="24"/>
          <w:szCs w:val="24"/>
          <w:lang w:eastAsia="en-US"/>
        </w:rPr>
        <w:t>;</w:t>
      </w:r>
      <w:r w:rsidRPr="002C13F3">
        <w:rPr>
          <w:rFonts w:ascii="Century" w:eastAsiaTheme="minorHAnsi" w:hAnsi="Century" w:cstheme="minorBidi"/>
          <w:sz w:val="24"/>
          <w:szCs w:val="24"/>
          <w:lang w:eastAsia="en-US"/>
        </w:rPr>
        <w:t xml:space="preserve"> </w:t>
      </w:r>
      <w:r w:rsidRPr="002C13F3">
        <w:rPr>
          <w:rFonts w:ascii="Century" w:eastAsiaTheme="minorHAnsi" w:hAnsi="Century" w:cstheme="minorBidi"/>
          <w:sz w:val="24"/>
          <w:szCs w:val="24"/>
          <w:lang w:eastAsia="en-US"/>
        </w:rPr>
        <w:lastRenderedPageBreak/>
        <w:t xml:space="preserve">una exención de </w:t>
      </w:r>
      <w:r w:rsidR="00AF41C6" w:rsidRPr="002C13F3">
        <w:rPr>
          <w:rFonts w:ascii="Century" w:eastAsiaTheme="minorHAnsi" w:hAnsi="Century" w:cstheme="minorBidi"/>
          <w:sz w:val="24"/>
          <w:szCs w:val="24"/>
          <w:lang w:eastAsia="en-US"/>
        </w:rPr>
        <w:t xml:space="preserve">20.209 euros (resto de años de </w:t>
      </w:r>
      <w:r w:rsidRPr="002C13F3">
        <w:rPr>
          <w:rFonts w:ascii="Century" w:eastAsiaTheme="minorHAnsi" w:hAnsi="Century" w:cstheme="minorBidi"/>
          <w:sz w:val="24"/>
          <w:szCs w:val="24"/>
          <w:lang w:eastAsia="en-US"/>
        </w:rPr>
        <w:t>20.148 euros</w:t>
      </w:r>
      <w:r w:rsidR="00AF41C6" w:rsidRPr="002C13F3">
        <w:rPr>
          <w:rFonts w:ascii="Century" w:eastAsiaTheme="minorHAnsi" w:hAnsi="Century" w:cstheme="minorBidi"/>
          <w:sz w:val="24"/>
          <w:szCs w:val="24"/>
          <w:lang w:eastAsia="en-US"/>
        </w:rPr>
        <w:t>)</w:t>
      </w:r>
      <w:r w:rsidR="00421A90">
        <w:rPr>
          <w:rFonts w:ascii="Century" w:eastAsiaTheme="minorHAnsi" w:hAnsi="Century" w:cstheme="minorBidi"/>
          <w:sz w:val="24"/>
          <w:szCs w:val="24"/>
          <w:lang w:eastAsia="en-US"/>
        </w:rPr>
        <w:t xml:space="preserve"> para hijos y nietos</w:t>
      </w:r>
      <w:r w:rsidR="00421A90" w:rsidRPr="00421A90">
        <w:rPr>
          <w:rFonts w:asciiTheme="minorHAnsi" w:eastAsiaTheme="minorHAnsi" w:hAnsiTheme="minorHAnsi" w:cstheme="minorHAnsi"/>
          <w:sz w:val="24"/>
          <w:szCs w:val="24"/>
          <w:lang w:eastAsia="en-US"/>
        </w:rPr>
        <w:t>;</w:t>
      </w:r>
      <w:r w:rsidRPr="002C13F3">
        <w:rPr>
          <w:rFonts w:ascii="Century" w:eastAsiaTheme="minorHAnsi" w:hAnsi="Century" w:cstheme="minorBidi"/>
          <w:sz w:val="24"/>
          <w:szCs w:val="24"/>
          <w:lang w:eastAsia="en-US"/>
        </w:rPr>
        <w:t xml:space="preserve"> así</w:t>
      </w:r>
      <w:r w:rsidR="00421A90">
        <w:rPr>
          <w:rFonts w:ascii="Century" w:eastAsiaTheme="minorHAnsi" w:hAnsi="Century" w:cstheme="minorBidi"/>
          <w:sz w:val="24"/>
          <w:szCs w:val="24"/>
          <w:lang w:eastAsia="en-US"/>
        </w:rPr>
        <w:t>,</w:t>
      </w:r>
      <w:r w:rsidRPr="002C13F3">
        <w:rPr>
          <w:rFonts w:ascii="Century" w:eastAsiaTheme="minorHAnsi" w:hAnsi="Century" w:cstheme="minorBidi"/>
          <w:sz w:val="24"/>
          <w:szCs w:val="24"/>
          <w:lang w:eastAsia="en-US"/>
        </w:rPr>
        <w:t xml:space="preserve"> como una exención de</w:t>
      </w:r>
      <w:r w:rsidR="00AF41C6" w:rsidRPr="002C13F3">
        <w:rPr>
          <w:rFonts w:ascii="Century" w:eastAsiaTheme="minorHAnsi" w:hAnsi="Century" w:cstheme="minorBidi"/>
          <w:sz w:val="24"/>
          <w:szCs w:val="24"/>
          <w:lang w:eastAsia="en-US"/>
        </w:rPr>
        <w:t xml:space="preserve"> 47.859 euros (resto de años de</w:t>
      </w:r>
      <w:r w:rsidRPr="002C13F3">
        <w:rPr>
          <w:rFonts w:ascii="Century" w:eastAsiaTheme="minorHAnsi" w:hAnsi="Century" w:cstheme="minorBidi"/>
          <w:sz w:val="24"/>
          <w:szCs w:val="24"/>
          <w:lang w:eastAsia="en-US"/>
        </w:rPr>
        <w:t xml:space="preserve"> 47.715 euros</w:t>
      </w:r>
      <w:r w:rsidR="00AF41C6" w:rsidRPr="002C13F3">
        <w:rPr>
          <w:rFonts w:ascii="Century" w:eastAsiaTheme="minorHAnsi" w:hAnsi="Century" w:cstheme="minorBidi"/>
          <w:sz w:val="24"/>
          <w:szCs w:val="24"/>
          <w:lang w:eastAsia="en-US"/>
        </w:rPr>
        <w:t>)</w:t>
      </w:r>
      <w:r w:rsidR="006E6807">
        <w:rPr>
          <w:rFonts w:ascii="Century" w:eastAsiaTheme="minorHAnsi" w:hAnsi="Century" w:cstheme="minorBidi"/>
          <w:sz w:val="24"/>
          <w:szCs w:val="24"/>
          <w:lang w:eastAsia="en-US"/>
        </w:rPr>
        <w:t xml:space="preserve"> para ascendientes. </w:t>
      </w:r>
      <w:r w:rsidRPr="002C13F3">
        <w:rPr>
          <w:rFonts w:ascii="Century" w:eastAsiaTheme="minorHAnsi" w:hAnsi="Century" w:cstheme="minorBidi"/>
          <w:sz w:val="24"/>
          <w:szCs w:val="24"/>
          <w:lang w:eastAsia="en-US"/>
        </w:rPr>
        <w:t>Todas estas exenciones se aplican independientemente del importe de la herencia recibida.</w:t>
      </w:r>
    </w:p>
    <w:p w:rsidR="003126CE" w:rsidRPr="002C13F3" w:rsidRDefault="004B017E" w:rsidP="002D11BC">
      <w:pPr>
        <w:pStyle w:val="HTMLconformatoprevio"/>
        <w:tabs>
          <w:tab w:val="clear" w:pos="916"/>
          <w:tab w:val="left" w:pos="709"/>
        </w:tabs>
        <w:spacing w:after="240" w:line="360" w:lineRule="auto"/>
        <w:jc w:val="both"/>
        <w:rPr>
          <w:rFonts w:ascii="Century" w:eastAsiaTheme="minorHAnsi" w:hAnsi="Century" w:cstheme="minorBidi"/>
          <w:sz w:val="24"/>
          <w:szCs w:val="24"/>
          <w:lang w:eastAsia="en-US"/>
        </w:rPr>
      </w:pPr>
      <w:r>
        <w:rPr>
          <w:rFonts w:ascii="Century" w:eastAsiaTheme="minorHAnsi" w:hAnsi="Century" w:cstheme="minorBidi"/>
          <w:sz w:val="24"/>
          <w:szCs w:val="24"/>
          <w:lang w:eastAsia="en-US"/>
        </w:rPr>
        <w:tab/>
        <w:t>El ISUC</w:t>
      </w:r>
      <w:r w:rsidR="003126CE" w:rsidRPr="002C13F3">
        <w:rPr>
          <w:rFonts w:ascii="Century" w:eastAsiaTheme="minorHAnsi" w:hAnsi="Century" w:cstheme="minorBidi"/>
          <w:sz w:val="24"/>
          <w:szCs w:val="24"/>
          <w:lang w:eastAsia="en-US"/>
        </w:rPr>
        <w:t xml:space="preserve"> polaco </w:t>
      </w:r>
      <w:r w:rsidR="00421A90">
        <w:rPr>
          <w:rFonts w:ascii="Century" w:eastAsiaTheme="minorHAnsi" w:hAnsi="Century" w:cstheme="minorBidi"/>
          <w:sz w:val="24"/>
          <w:szCs w:val="24"/>
          <w:lang w:eastAsia="en-US"/>
        </w:rPr>
        <w:t>atiende</w:t>
      </w:r>
      <w:r w:rsidR="003126CE" w:rsidRPr="002C13F3">
        <w:rPr>
          <w:rFonts w:ascii="Century" w:eastAsiaTheme="minorHAnsi" w:hAnsi="Century" w:cstheme="minorBidi"/>
          <w:sz w:val="24"/>
          <w:szCs w:val="24"/>
          <w:lang w:eastAsia="en-US"/>
        </w:rPr>
        <w:t xml:space="preserve"> al criterio de la residencia</w:t>
      </w:r>
      <w:r w:rsidR="00421A90">
        <w:rPr>
          <w:rFonts w:ascii="Century" w:eastAsiaTheme="minorHAnsi" w:hAnsi="Century" w:cstheme="minorBidi"/>
          <w:sz w:val="24"/>
          <w:szCs w:val="24"/>
          <w:lang w:eastAsia="en-US"/>
        </w:rPr>
        <w:t xml:space="preserve"> como elemento de sujeción, residencia que se delimita</w:t>
      </w:r>
      <w:r w:rsidR="003126CE" w:rsidRPr="002C13F3">
        <w:rPr>
          <w:rFonts w:ascii="Century" w:eastAsiaTheme="minorHAnsi" w:hAnsi="Century" w:cstheme="minorBidi"/>
          <w:sz w:val="24"/>
          <w:szCs w:val="24"/>
          <w:lang w:eastAsia="en-US"/>
        </w:rPr>
        <w:t xml:space="preserve"> por la permanencia en Polonia por un período superior a 183 días en un año fiscal</w:t>
      </w:r>
      <w:r w:rsidR="00421A90">
        <w:rPr>
          <w:rFonts w:ascii="Century" w:eastAsiaTheme="minorHAnsi" w:hAnsi="Century" w:cstheme="minorBidi"/>
          <w:sz w:val="24"/>
          <w:szCs w:val="24"/>
          <w:lang w:eastAsia="en-US"/>
        </w:rPr>
        <w:t>,</w:t>
      </w:r>
      <w:r w:rsidR="003126CE" w:rsidRPr="002C13F3">
        <w:rPr>
          <w:rFonts w:ascii="Century" w:eastAsiaTheme="minorHAnsi" w:hAnsi="Century" w:cstheme="minorBidi"/>
          <w:sz w:val="24"/>
          <w:szCs w:val="24"/>
          <w:lang w:eastAsia="en-US"/>
        </w:rPr>
        <w:t xml:space="preserve"> o por</w:t>
      </w:r>
      <w:r w:rsidR="00421A90">
        <w:rPr>
          <w:rFonts w:ascii="Century" w:eastAsiaTheme="minorHAnsi" w:hAnsi="Century" w:cstheme="minorBidi"/>
          <w:sz w:val="24"/>
          <w:szCs w:val="24"/>
          <w:lang w:eastAsia="en-US"/>
        </w:rPr>
        <w:t xml:space="preserve"> situarse en dicho país,</w:t>
      </w:r>
      <w:r w:rsidR="003126CE" w:rsidRPr="002C13F3">
        <w:rPr>
          <w:rFonts w:ascii="Century" w:eastAsiaTheme="minorHAnsi" w:hAnsi="Century" w:cstheme="minorBidi"/>
          <w:sz w:val="24"/>
          <w:szCs w:val="24"/>
          <w:lang w:eastAsia="en-US"/>
        </w:rPr>
        <w:t xml:space="preserve"> el centro de intereses personales o económicos del contribuyente. E</w:t>
      </w:r>
      <w:r w:rsidR="00421A90">
        <w:rPr>
          <w:rFonts w:ascii="Century" w:eastAsiaTheme="minorHAnsi" w:hAnsi="Century" w:cstheme="minorBidi"/>
          <w:sz w:val="24"/>
          <w:szCs w:val="24"/>
          <w:lang w:eastAsia="en-US"/>
        </w:rPr>
        <w:t>l</w:t>
      </w:r>
      <w:r w:rsidR="003126CE" w:rsidRPr="002C13F3">
        <w:rPr>
          <w:rFonts w:ascii="Century" w:eastAsiaTheme="minorHAnsi" w:hAnsi="Century" w:cstheme="minorBidi"/>
          <w:sz w:val="24"/>
          <w:szCs w:val="24"/>
          <w:lang w:eastAsia="en-US"/>
        </w:rPr>
        <w:t xml:space="preserve"> impuesto se aplica a la adquisición de bienes ubicados en Polonia y en el extranjero. El tipo impositivo </w:t>
      </w:r>
      <w:r w:rsidR="00B040AC" w:rsidRPr="002C13F3">
        <w:rPr>
          <w:rFonts w:ascii="Century" w:eastAsiaTheme="minorHAnsi" w:hAnsi="Century" w:cstheme="minorBidi"/>
          <w:sz w:val="24"/>
          <w:szCs w:val="24"/>
          <w:lang w:eastAsia="en-US"/>
        </w:rPr>
        <w:t xml:space="preserve">para </w:t>
      </w:r>
      <w:r w:rsidR="003126CE" w:rsidRPr="002C13F3">
        <w:rPr>
          <w:rFonts w:ascii="Century" w:eastAsiaTheme="minorHAnsi" w:hAnsi="Century" w:cstheme="minorBidi"/>
          <w:sz w:val="24"/>
          <w:szCs w:val="24"/>
          <w:lang w:eastAsia="en-US"/>
        </w:rPr>
        <w:t xml:space="preserve">el cónyuge, descendientes y ascendientes oscila entre el 0 y el 7 por ciento. La legislación </w:t>
      </w:r>
      <w:r w:rsidR="00421A90">
        <w:rPr>
          <w:rFonts w:ascii="Century" w:eastAsiaTheme="minorHAnsi" w:hAnsi="Century" w:cstheme="minorBidi"/>
          <w:sz w:val="24"/>
          <w:szCs w:val="24"/>
          <w:lang w:eastAsia="en-US"/>
        </w:rPr>
        <w:t>polaca establece como beneficio fiscal</w:t>
      </w:r>
      <w:r w:rsidR="003126CE" w:rsidRPr="002C13F3">
        <w:rPr>
          <w:rFonts w:ascii="Century" w:eastAsiaTheme="minorHAnsi" w:hAnsi="Century" w:cstheme="minorBidi"/>
          <w:sz w:val="24"/>
          <w:szCs w:val="24"/>
          <w:lang w:eastAsia="en-US"/>
        </w:rPr>
        <w:t xml:space="preserve"> una reducción de 2.294 euros para el cónyuge, descendientes y ascendientes</w:t>
      </w:r>
      <w:r w:rsidR="00421A90">
        <w:rPr>
          <w:rFonts w:ascii="Century" w:eastAsiaTheme="minorHAnsi" w:hAnsi="Century" w:cstheme="minorBidi"/>
          <w:sz w:val="24"/>
          <w:szCs w:val="24"/>
          <w:lang w:eastAsia="en-US"/>
        </w:rPr>
        <w:t>, estableciendo además</w:t>
      </w:r>
      <w:r w:rsidR="003126CE" w:rsidRPr="002C13F3">
        <w:rPr>
          <w:rFonts w:ascii="Century" w:eastAsiaTheme="minorHAnsi" w:hAnsi="Century" w:cstheme="minorBidi"/>
          <w:sz w:val="24"/>
          <w:szCs w:val="24"/>
          <w:lang w:eastAsia="en-US"/>
        </w:rPr>
        <w:t xml:space="preserve"> exenciones</w:t>
      </w:r>
      <w:r w:rsidR="00421A90">
        <w:rPr>
          <w:rFonts w:ascii="Century" w:eastAsiaTheme="minorHAnsi" w:hAnsi="Century" w:cstheme="minorBidi"/>
          <w:sz w:val="24"/>
          <w:szCs w:val="24"/>
          <w:lang w:eastAsia="en-US"/>
        </w:rPr>
        <w:t xml:space="preserve"> por la adquisición de un</w:t>
      </w:r>
      <w:r w:rsidR="003126CE" w:rsidRPr="002C13F3">
        <w:rPr>
          <w:rFonts w:ascii="Century" w:eastAsiaTheme="minorHAnsi" w:hAnsi="Century" w:cstheme="minorBidi"/>
          <w:sz w:val="24"/>
          <w:szCs w:val="24"/>
          <w:lang w:eastAsia="en-US"/>
        </w:rPr>
        <w:t>a vivienda hasta un valor determinado</w:t>
      </w:r>
      <w:r w:rsidR="00421A90">
        <w:rPr>
          <w:rFonts w:ascii="Century" w:eastAsiaTheme="minorHAnsi" w:hAnsi="Century" w:cstheme="minorBidi"/>
          <w:sz w:val="24"/>
          <w:szCs w:val="24"/>
          <w:lang w:eastAsia="en-US"/>
        </w:rPr>
        <w:t>,</w:t>
      </w:r>
      <w:r w:rsidR="003126CE" w:rsidRPr="002C13F3">
        <w:rPr>
          <w:rFonts w:ascii="Century" w:eastAsiaTheme="minorHAnsi" w:hAnsi="Century" w:cstheme="minorBidi"/>
          <w:sz w:val="24"/>
          <w:szCs w:val="24"/>
          <w:lang w:eastAsia="en-US"/>
        </w:rPr>
        <w:t xml:space="preserve"> en función del espacio superficial correspondiente, así como una serie de ingresos.</w:t>
      </w:r>
    </w:p>
    <w:p w:rsidR="003126CE" w:rsidRPr="002C13F3" w:rsidRDefault="003126CE" w:rsidP="002D11BC">
      <w:pPr>
        <w:pStyle w:val="HTMLconformatoprevio"/>
        <w:tabs>
          <w:tab w:val="clear" w:pos="916"/>
          <w:tab w:val="left" w:pos="709"/>
        </w:tabs>
        <w:spacing w:after="240" w:line="360" w:lineRule="auto"/>
        <w:jc w:val="both"/>
        <w:rPr>
          <w:rFonts w:ascii="Century" w:eastAsiaTheme="minorHAnsi" w:hAnsi="Century" w:cstheme="minorBidi"/>
          <w:sz w:val="24"/>
          <w:szCs w:val="24"/>
          <w:lang w:eastAsia="en-US"/>
        </w:rPr>
      </w:pPr>
      <w:r w:rsidRPr="002C13F3">
        <w:rPr>
          <w:rFonts w:ascii="Century" w:eastAsiaTheme="minorHAnsi" w:hAnsi="Century" w:cstheme="minorBidi"/>
          <w:sz w:val="24"/>
          <w:szCs w:val="24"/>
          <w:lang w:eastAsia="en-US"/>
        </w:rPr>
        <w:tab/>
        <w:t xml:space="preserve">En Reino Unido, </w:t>
      </w:r>
      <w:r w:rsidR="00421A90">
        <w:rPr>
          <w:rFonts w:ascii="Century" w:eastAsiaTheme="minorHAnsi" w:hAnsi="Century" w:cstheme="minorBidi"/>
          <w:sz w:val="24"/>
          <w:szCs w:val="24"/>
          <w:lang w:eastAsia="en-US"/>
        </w:rPr>
        <w:t>se atiende</w:t>
      </w:r>
      <w:r w:rsidRPr="002C13F3">
        <w:rPr>
          <w:rFonts w:ascii="Century" w:eastAsiaTheme="minorHAnsi" w:hAnsi="Century" w:cstheme="minorBidi"/>
          <w:sz w:val="24"/>
          <w:szCs w:val="24"/>
          <w:lang w:eastAsia="en-US"/>
        </w:rPr>
        <w:t xml:space="preserve"> al </w:t>
      </w:r>
      <w:r w:rsidR="00421A90">
        <w:rPr>
          <w:rFonts w:ascii="Century" w:eastAsiaTheme="minorHAnsi" w:hAnsi="Century" w:cstheme="minorBidi"/>
          <w:sz w:val="24"/>
          <w:szCs w:val="24"/>
          <w:lang w:eastAsia="en-US"/>
        </w:rPr>
        <w:t>criterio</w:t>
      </w:r>
      <w:r w:rsidRPr="002C13F3">
        <w:rPr>
          <w:rFonts w:ascii="Century" w:eastAsiaTheme="minorHAnsi" w:hAnsi="Century" w:cstheme="minorBidi"/>
          <w:sz w:val="24"/>
          <w:szCs w:val="24"/>
          <w:lang w:eastAsia="en-US"/>
        </w:rPr>
        <w:t xml:space="preserve"> del domicilio</w:t>
      </w:r>
      <w:r w:rsidR="00421A90">
        <w:rPr>
          <w:rFonts w:ascii="Century" w:eastAsiaTheme="minorHAnsi" w:hAnsi="Century" w:cstheme="minorBidi"/>
          <w:sz w:val="24"/>
          <w:szCs w:val="24"/>
          <w:lang w:eastAsia="en-US"/>
        </w:rPr>
        <w:t xml:space="preserve"> como criterio de sujeción</w:t>
      </w:r>
      <w:r w:rsidRPr="002C13F3">
        <w:rPr>
          <w:rFonts w:ascii="Century" w:eastAsiaTheme="minorHAnsi" w:hAnsi="Century" w:cstheme="minorBidi"/>
          <w:sz w:val="24"/>
          <w:szCs w:val="24"/>
          <w:lang w:eastAsia="en-US"/>
        </w:rPr>
        <w:t>. En este sentido, el domicilio de una persona</w:t>
      </w:r>
      <w:r w:rsidR="00421A90">
        <w:rPr>
          <w:rFonts w:ascii="Century" w:eastAsiaTheme="minorHAnsi" w:hAnsi="Century" w:cstheme="minorBidi"/>
          <w:sz w:val="24"/>
          <w:szCs w:val="24"/>
          <w:lang w:eastAsia="en-US"/>
        </w:rPr>
        <w:t xml:space="preserve"> será el concretado por el país donde viva</w:t>
      </w:r>
      <w:r w:rsidRPr="002C13F3">
        <w:rPr>
          <w:rFonts w:ascii="Century" w:eastAsiaTheme="minorHAnsi" w:hAnsi="Century" w:cstheme="minorBidi"/>
          <w:sz w:val="24"/>
          <w:szCs w:val="24"/>
          <w:lang w:eastAsia="en-US"/>
        </w:rPr>
        <w:t xml:space="preserve"> habitualmente. No obstante, una persona que cambie su domicilio y lo adquiera fuera del Reino Unido seguirá siendo considerada como domiciliada en este Estado durante </w:t>
      </w:r>
      <w:r w:rsidR="00421A90">
        <w:rPr>
          <w:rFonts w:ascii="Century" w:eastAsiaTheme="minorHAnsi" w:hAnsi="Century" w:cstheme="minorBidi"/>
          <w:sz w:val="24"/>
          <w:szCs w:val="24"/>
          <w:lang w:eastAsia="en-US"/>
        </w:rPr>
        <w:t xml:space="preserve">los </w:t>
      </w:r>
      <w:r w:rsidRPr="002C13F3">
        <w:rPr>
          <w:rFonts w:ascii="Century" w:eastAsiaTheme="minorHAnsi" w:hAnsi="Century" w:cstheme="minorBidi"/>
          <w:sz w:val="24"/>
          <w:szCs w:val="24"/>
          <w:lang w:eastAsia="en-US"/>
        </w:rPr>
        <w:t>tres años</w:t>
      </w:r>
      <w:r w:rsidR="00421A90">
        <w:rPr>
          <w:rFonts w:ascii="Century" w:eastAsiaTheme="minorHAnsi" w:hAnsi="Century" w:cstheme="minorBidi"/>
          <w:sz w:val="24"/>
          <w:szCs w:val="24"/>
          <w:lang w:eastAsia="en-US"/>
        </w:rPr>
        <w:t xml:space="preserve"> siguientes</w:t>
      </w:r>
      <w:r w:rsidRPr="002C13F3">
        <w:rPr>
          <w:rFonts w:ascii="Century" w:eastAsiaTheme="minorHAnsi" w:hAnsi="Century" w:cstheme="minorBidi"/>
          <w:sz w:val="24"/>
          <w:szCs w:val="24"/>
          <w:lang w:eastAsia="en-US"/>
        </w:rPr>
        <w:t>.</w:t>
      </w:r>
      <w:r w:rsidR="00250F57" w:rsidRPr="002C13F3">
        <w:rPr>
          <w:rFonts w:ascii="Century" w:eastAsiaTheme="minorHAnsi" w:hAnsi="Century" w:cstheme="minorBidi"/>
          <w:sz w:val="24"/>
          <w:szCs w:val="24"/>
          <w:lang w:eastAsia="en-US"/>
        </w:rPr>
        <w:t xml:space="preserve"> </w:t>
      </w:r>
      <w:r w:rsidRPr="002C13F3">
        <w:rPr>
          <w:rFonts w:ascii="Century" w:eastAsiaTheme="minorHAnsi" w:hAnsi="Century" w:cstheme="minorBidi"/>
          <w:sz w:val="24"/>
          <w:szCs w:val="24"/>
          <w:lang w:eastAsia="en-US"/>
        </w:rPr>
        <w:t>En el caso de los cónyuges, si un</w:t>
      </w:r>
      <w:r w:rsidR="00421A90">
        <w:rPr>
          <w:rFonts w:ascii="Century" w:eastAsiaTheme="minorHAnsi" w:hAnsi="Century" w:cstheme="minorBidi"/>
          <w:sz w:val="24"/>
          <w:szCs w:val="24"/>
          <w:lang w:eastAsia="en-US"/>
        </w:rPr>
        <w:t>o de ellos</w:t>
      </w:r>
      <w:r w:rsidRPr="002C13F3">
        <w:rPr>
          <w:rFonts w:ascii="Century" w:eastAsiaTheme="minorHAnsi" w:hAnsi="Century" w:cstheme="minorBidi"/>
          <w:sz w:val="24"/>
          <w:szCs w:val="24"/>
          <w:lang w:eastAsia="en-US"/>
        </w:rPr>
        <w:t xml:space="preserve"> está domiciliado en este Estado pero el otro no, a partir del 6 de abril del 2013, el </w:t>
      </w:r>
      <w:r w:rsidR="00421A90">
        <w:rPr>
          <w:rFonts w:ascii="Century" w:eastAsiaTheme="minorHAnsi" w:hAnsi="Century" w:cstheme="minorBidi"/>
          <w:sz w:val="24"/>
          <w:szCs w:val="24"/>
          <w:lang w:eastAsia="en-US"/>
        </w:rPr>
        <w:t>n</w:t>
      </w:r>
      <w:r w:rsidRPr="002C13F3">
        <w:rPr>
          <w:rFonts w:ascii="Century" w:eastAsiaTheme="minorHAnsi" w:hAnsi="Century" w:cstheme="minorBidi"/>
          <w:sz w:val="24"/>
          <w:szCs w:val="24"/>
          <w:lang w:eastAsia="en-US"/>
        </w:rPr>
        <w:t>o domiciliado puede optar por ser tratado como domiciliado en Rei</w:t>
      </w:r>
      <w:r w:rsidR="00421A90">
        <w:rPr>
          <w:rFonts w:ascii="Century" w:eastAsiaTheme="minorHAnsi" w:hAnsi="Century" w:cstheme="minorBidi"/>
          <w:sz w:val="24"/>
          <w:szCs w:val="24"/>
          <w:lang w:eastAsia="en-US"/>
        </w:rPr>
        <w:t>no Unido a efectos del impuesto, debiendo incluir</w:t>
      </w:r>
      <w:r w:rsidRPr="002C13F3">
        <w:rPr>
          <w:rFonts w:ascii="Century" w:eastAsiaTheme="minorHAnsi" w:hAnsi="Century" w:cstheme="minorBidi"/>
          <w:sz w:val="24"/>
          <w:szCs w:val="24"/>
          <w:lang w:eastAsia="en-US"/>
        </w:rPr>
        <w:t>, todo el patrimonio de este cónyuge ubicado en el extranjero</w:t>
      </w:r>
      <w:r w:rsidR="00421A90">
        <w:rPr>
          <w:rFonts w:ascii="Century" w:eastAsiaTheme="minorHAnsi" w:hAnsi="Century" w:cstheme="minorBidi"/>
          <w:sz w:val="24"/>
          <w:szCs w:val="24"/>
          <w:lang w:eastAsia="en-US"/>
        </w:rPr>
        <w:t xml:space="preserve"> en el impuesto.</w:t>
      </w:r>
      <w:r w:rsidRPr="002C13F3">
        <w:rPr>
          <w:rFonts w:ascii="Century" w:eastAsiaTheme="minorHAnsi" w:hAnsi="Century" w:cstheme="minorBidi"/>
          <w:sz w:val="24"/>
          <w:szCs w:val="24"/>
          <w:lang w:eastAsia="en-US"/>
        </w:rPr>
        <w:t xml:space="preserve"> </w:t>
      </w:r>
      <w:r w:rsidR="00421A90">
        <w:rPr>
          <w:rFonts w:ascii="Century" w:eastAsiaTheme="minorHAnsi" w:hAnsi="Century" w:cstheme="minorBidi"/>
          <w:sz w:val="24"/>
          <w:szCs w:val="24"/>
          <w:lang w:eastAsia="en-US"/>
        </w:rPr>
        <w:t xml:space="preserve">Si el </w:t>
      </w:r>
      <w:r w:rsidRPr="002C13F3">
        <w:rPr>
          <w:rFonts w:ascii="Century" w:eastAsiaTheme="minorHAnsi" w:hAnsi="Century" w:cstheme="minorBidi"/>
          <w:sz w:val="24"/>
          <w:szCs w:val="24"/>
          <w:lang w:eastAsia="en-US"/>
        </w:rPr>
        <w:t>causante estu</w:t>
      </w:r>
      <w:r w:rsidR="00421A90">
        <w:rPr>
          <w:rFonts w:ascii="Century" w:eastAsiaTheme="minorHAnsi" w:hAnsi="Century" w:cstheme="minorBidi"/>
          <w:sz w:val="24"/>
          <w:szCs w:val="24"/>
          <w:lang w:eastAsia="en-US"/>
        </w:rPr>
        <w:t>viera domiciliado en Reino Unido, el heredero estará</w:t>
      </w:r>
      <w:r w:rsidRPr="002C13F3">
        <w:rPr>
          <w:rFonts w:ascii="Century" w:eastAsiaTheme="minorHAnsi" w:hAnsi="Century" w:cstheme="minorBidi"/>
          <w:sz w:val="24"/>
          <w:szCs w:val="24"/>
          <w:lang w:eastAsia="en-US"/>
        </w:rPr>
        <w:t xml:space="preserve"> sujeto al impuesto por todos los bienes</w:t>
      </w:r>
      <w:r w:rsidR="000378B1">
        <w:rPr>
          <w:rFonts w:ascii="Century" w:eastAsiaTheme="minorHAnsi" w:hAnsi="Century" w:cstheme="minorBidi"/>
          <w:sz w:val="24"/>
          <w:szCs w:val="24"/>
          <w:lang w:eastAsia="en-US"/>
        </w:rPr>
        <w:t xml:space="preserve"> y derechos del fallecido. S</w:t>
      </w:r>
      <w:r w:rsidRPr="002C13F3">
        <w:rPr>
          <w:rFonts w:ascii="Century" w:eastAsiaTheme="minorHAnsi" w:hAnsi="Century" w:cstheme="minorBidi"/>
          <w:sz w:val="24"/>
          <w:szCs w:val="24"/>
          <w:lang w:eastAsia="en-US"/>
        </w:rPr>
        <w:t xml:space="preserve">i el causante no estuviera domiciliado en este territorio, el heredero </w:t>
      </w:r>
      <w:r w:rsidR="00421A90">
        <w:rPr>
          <w:rFonts w:ascii="Century" w:eastAsiaTheme="minorHAnsi" w:hAnsi="Century" w:cstheme="minorBidi"/>
          <w:sz w:val="24"/>
          <w:szCs w:val="24"/>
          <w:lang w:eastAsia="en-US"/>
        </w:rPr>
        <w:t xml:space="preserve">sólo </w:t>
      </w:r>
      <w:r w:rsidRPr="002C13F3">
        <w:rPr>
          <w:rFonts w:ascii="Century" w:eastAsiaTheme="minorHAnsi" w:hAnsi="Century" w:cstheme="minorBidi"/>
          <w:sz w:val="24"/>
          <w:szCs w:val="24"/>
          <w:lang w:eastAsia="en-US"/>
        </w:rPr>
        <w:t>debe tributar por los bienes</w:t>
      </w:r>
      <w:r w:rsidR="00421A90">
        <w:rPr>
          <w:rFonts w:ascii="Century" w:eastAsiaTheme="minorHAnsi" w:hAnsi="Century" w:cstheme="minorBidi"/>
          <w:sz w:val="24"/>
          <w:szCs w:val="24"/>
          <w:lang w:eastAsia="en-US"/>
        </w:rPr>
        <w:t xml:space="preserve"> y derechos del causante</w:t>
      </w:r>
      <w:r w:rsidRPr="002C13F3">
        <w:rPr>
          <w:rFonts w:ascii="Century" w:eastAsiaTheme="minorHAnsi" w:hAnsi="Century" w:cstheme="minorBidi"/>
          <w:sz w:val="24"/>
          <w:szCs w:val="24"/>
          <w:lang w:eastAsia="en-US"/>
        </w:rPr>
        <w:t xml:space="preserve"> situados en Reino Unido. En general, este Estado establece un tipo fijo del 40 por ciento</w:t>
      </w:r>
      <w:r w:rsidR="000378B1">
        <w:rPr>
          <w:rFonts w:ascii="Century" w:eastAsiaTheme="minorHAnsi" w:hAnsi="Century" w:cstheme="minorBidi"/>
          <w:sz w:val="24"/>
          <w:szCs w:val="24"/>
          <w:lang w:eastAsia="en-US"/>
        </w:rPr>
        <w:t>,</w:t>
      </w:r>
      <w:r w:rsidRPr="002C13F3">
        <w:rPr>
          <w:rFonts w:ascii="Century" w:eastAsiaTheme="minorHAnsi" w:hAnsi="Century" w:cstheme="minorBidi"/>
          <w:sz w:val="24"/>
          <w:szCs w:val="24"/>
          <w:lang w:eastAsia="en-US"/>
        </w:rPr>
        <w:t xml:space="preserve"> independientemente de la relación de parentesco o del valor de la herencia recibida. </w:t>
      </w:r>
      <w:r w:rsidR="000378B1">
        <w:rPr>
          <w:rFonts w:ascii="Century" w:eastAsiaTheme="minorHAnsi" w:hAnsi="Century" w:cstheme="minorBidi"/>
          <w:sz w:val="24"/>
          <w:szCs w:val="24"/>
          <w:lang w:eastAsia="en-US"/>
        </w:rPr>
        <w:t>N</w:t>
      </w:r>
      <w:r w:rsidR="000378B1">
        <w:rPr>
          <w:rFonts w:ascii="Century" w:hAnsi="Century" w:cs="EYInterstate-Light"/>
          <w:sz w:val="24"/>
          <w:szCs w:val="24"/>
        </w:rPr>
        <w:t xml:space="preserve">o se </w:t>
      </w:r>
      <w:r w:rsidRPr="002C13F3">
        <w:rPr>
          <w:rFonts w:ascii="Century" w:hAnsi="Century" w:cs="EYInterstate-Light"/>
          <w:sz w:val="24"/>
          <w:szCs w:val="24"/>
        </w:rPr>
        <w:t>establece ningún beneficio fiscal para las herencias.</w:t>
      </w:r>
    </w:p>
    <w:p w:rsidR="003126CE" w:rsidRDefault="003126CE" w:rsidP="002D11BC">
      <w:pPr>
        <w:pStyle w:val="HTMLconformatoprevio"/>
        <w:tabs>
          <w:tab w:val="clear" w:pos="916"/>
          <w:tab w:val="left" w:pos="709"/>
        </w:tabs>
        <w:spacing w:after="240" w:line="360" w:lineRule="auto"/>
        <w:jc w:val="both"/>
        <w:rPr>
          <w:rFonts w:ascii="Century" w:eastAsiaTheme="minorHAnsi" w:hAnsi="Century" w:cstheme="minorBidi"/>
          <w:sz w:val="24"/>
          <w:szCs w:val="24"/>
          <w:lang w:eastAsia="en-US"/>
        </w:rPr>
      </w:pPr>
      <w:r w:rsidRPr="002C13F3">
        <w:rPr>
          <w:rFonts w:ascii="Century" w:eastAsiaTheme="minorHAnsi" w:hAnsi="Century" w:cstheme="minorBidi"/>
          <w:sz w:val="24"/>
          <w:szCs w:val="24"/>
          <w:lang w:eastAsia="en-US"/>
        </w:rPr>
        <w:lastRenderedPageBreak/>
        <w:tab/>
      </w:r>
      <w:r w:rsidR="00E00D33">
        <w:rPr>
          <w:rFonts w:ascii="Century" w:eastAsiaTheme="minorHAnsi" w:hAnsi="Century" w:cstheme="minorBidi"/>
          <w:sz w:val="24"/>
          <w:szCs w:val="24"/>
          <w:lang w:eastAsia="en-US"/>
        </w:rPr>
        <w:t>Respecto al resto de países, señalaremos que Croacia grava las sucesiones</w:t>
      </w:r>
      <w:r w:rsidR="009F6973" w:rsidRPr="002C13F3">
        <w:rPr>
          <w:rFonts w:ascii="Century" w:eastAsiaTheme="minorHAnsi" w:hAnsi="Century" w:cstheme="minorBidi"/>
          <w:sz w:val="24"/>
          <w:szCs w:val="24"/>
          <w:lang w:eastAsia="en-US"/>
        </w:rPr>
        <w:t>, atendiendo al principio de nacionalidad,</w:t>
      </w:r>
      <w:r w:rsidRPr="002C13F3">
        <w:rPr>
          <w:rFonts w:ascii="Century" w:eastAsiaTheme="minorHAnsi" w:hAnsi="Century" w:cstheme="minorBidi"/>
          <w:sz w:val="24"/>
          <w:szCs w:val="24"/>
          <w:lang w:eastAsia="en-US"/>
        </w:rPr>
        <w:t xml:space="preserve"> al tipo impositivo del 5 por ciento para</w:t>
      </w:r>
      <w:r w:rsidR="00E00D33">
        <w:rPr>
          <w:rFonts w:ascii="Century" w:eastAsiaTheme="minorHAnsi" w:hAnsi="Century" w:cstheme="minorBidi"/>
          <w:sz w:val="24"/>
          <w:szCs w:val="24"/>
          <w:lang w:eastAsia="en-US"/>
        </w:rPr>
        <w:t xml:space="preserve"> los parientes más próximos. Grecia atiende como </w:t>
      </w:r>
      <w:r w:rsidRPr="002C13F3">
        <w:rPr>
          <w:rFonts w:ascii="Century" w:eastAsiaTheme="minorHAnsi" w:hAnsi="Century" w:cstheme="minorBidi"/>
          <w:sz w:val="24"/>
          <w:szCs w:val="24"/>
          <w:lang w:eastAsia="en-US"/>
        </w:rPr>
        <w:t xml:space="preserve">criterio de sujeción </w:t>
      </w:r>
      <w:r w:rsidR="00E00D33">
        <w:rPr>
          <w:rFonts w:ascii="Century" w:eastAsiaTheme="minorHAnsi" w:hAnsi="Century" w:cstheme="minorBidi"/>
          <w:sz w:val="24"/>
          <w:szCs w:val="24"/>
          <w:lang w:eastAsia="en-US"/>
        </w:rPr>
        <w:t>conjuntamente al criterio de la nacionalidad y a</w:t>
      </w:r>
      <w:r w:rsidRPr="002C13F3">
        <w:rPr>
          <w:rFonts w:ascii="Century" w:eastAsiaTheme="minorHAnsi" w:hAnsi="Century" w:cstheme="minorBidi"/>
          <w:sz w:val="24"/>
          <w:szCs w:val="24"/>
          <w:lang w:eastAsia="en-US"/>
        </w:rPr>
        <w:t>l</w:t>
      </w:r>
      <w:r w:rsidR="00E00D33">
        <w:rPr>
          <w:rFonts w:ascii="Century" w:eastAsiaTheme="minorHAnsi" w:hAnsi="Century" w:cstheme="minorBidi"/>
          <w:sz w:val="24"/>
          <w:szCs w:val="24"/>
          <w:lang w:eastAsia="en-US"/>
        </w:rPr>
        <w:t xml:space="preserve"> del</w:t>
      </w:r>
      <w:r w:rsidRPr="002C13F3">
        <w:rPr>
          <w:rFonts w:ascii="Century" w:eastAsiaTheme="minorHAnsi" w:hAnsi="Century" w:cstheme="minorBidi"/>
          <w:sz w:val="24"/>
          <w:szCs w:val="24"/>
          <w:lang w:eastAsia="en-US"/>
        </w:rPr>
        <w:t xml:space="preserve"> domicilio. Así pues, aquellos bienes</w:t>
      </w:r>
      <w:r w:rsidR="00E00D33">
        <w:rPr>
          <w:rFonts w:ascii="Century" w:eastAsiaTheme="minorHAnsi" w:hAnsi="Century" w:cstheme="minorBidi"/>
          <w:sz w:val="24"/>
          <w:szCs w:val="24"/>
          <w:lang w:eastAsia="en-US"/>
        </w:rPr>
        <w:t xml:space="preserve"> o derechos</w:t>
      </w:r>
      <w:r w:rsidRPr="002C13F3">
        <w:rPr>
          <w:rFonts w:ascii="Century" w:eastAsiaTheme="minorHAnsi" w:hAnsi="Century" w:cstheme="minorBidi"/>
          <w:sz w:val="24"/>
          <w:szCs w:val="24"/>
          <w:lang w:eastAsia="en-US"/>
        </w:rPr>
        <w:t xml:space="preserve"> situados</w:t>
      </w:r>
      <w:r w:rsidR="00E00D33">
        <w:rPr>
          <w:rFonts w:ascii="Century" w:eastAsiaTheme="minorHAnsi" w:hAnsi="Century" w:cstheme="minorBidi"/>
          <w:sz w:val="24"/>
          <w:szCs w:val="24"/>
          <w:lang w:eastAsia="en-US"/>
        </w:rPr>
        <w:t xml:space="preserve"> o que deban ejercitarse en Grecia</w:t>
      </w:r>
      <w:r w:rsidRPr="002C13F3">
        <w:rPr>
          <w:rFonts w:ascii="Century" w:eastAsiaTheme="minorHAnsi" w:hAnsi="Century" w:cstheme="minorBidi"/>
          <w:sz w:val="24"/>
          <w:szCs w:val="24"/>
          <w:lang w:eastAsia="en-US"/>
        </w:rPr>
        <w:t xml:space="preserve"> que pertenezcan a un ciudadano griego o a cualquier otra persona domiciliada en Grecia están sujetos al impuesto. El tipo de gravamen</w:t>
      </w:r>
      <w:r w:rsidR="00E00D33">
        <w:rPr>
          <w:rFonts w:ascii="Century" w:eastAsiaTheme="minorHAnsi" w:hAnsi="Century" w:cstheme="minorBidi"/>
          <w:sz w:val="24"/>
          <w:szCs w:val="24"/>
          <w:lang w:eastAsia="en-US"/>
        </w:rPr>
        <w:t xml:space="preserve"> previsto</w:t>
      </w:r>
      <w:r w:rsidRPr="002C13F3">
        <w:rPr>
          <w:rFonts w:ascii="Century" w:eastAsiaTheme="minorHAnsi" w:hAnsi="Century" w:cstheme="minorBidi"/>
          <w:sz w:val="24"/>
          <w:szCs w:val="24"/>
          <w:lang w:eastAsia="en-US"/>
        </w:rPr>
        <w:t xml:space="preserve"> depende de la relación del heredero con el causante y de</w:t>
      </w:r>
      <w:r w:rsidR="00E00D33">
        <w:rPr>
          <w:rFonts w:ascii="Century" w:eastAsiaTheme="minorHAnsi" w:hAnsi="Century" w:cstheme="minorBidi"/>
          <w:sz w:val="24"/>
          <w:szCs w:val="24"/>
          <w:lang w:eastAsia="en-US"/>
        </w:rPr>
        <w:t>l valor de la herencia recibida, oscilando p</w:t>
      </w:r>
      <w:r w:rsidRPr="002C13F3">
        <w:rPr>
          <w:rFonts w:ascii="Century" w:eastAsiaTheme="minorHAnsi" w:hAnsi="Century" w:cstheme="minorBidi"/>
          <w:sz w:val="24"/>
          <w:szCs w:val="24"/>
          <w:lang w:eastAsia="en-US"/>
        </w:rPr>
        <w:t xml:space="preserve">ara los parientes más próximos entre el 1 y el 10 por ciento. En Hungría, los herederos nacionales o los que residan en dicho territorio más próximos al causante están sujetos a un tipo de gravamen entre el 11 </w:t>
      </w:r>
      <w:r w:rsidR="007E4F6C" w:rsidRPr="002C13F3">
        <w:rPr>
          <w:rFonts w:ascii="Century" w:eastAsiaTheme="minorHAnsi" w:hAnsi="Century" w:cstheme="minorBidi"/>
          <w:sz w:val="24"/>
          <w:szCs w:val="24"/>
          <w:lang w:eastAsia="en-US"/>
        </w:rPr>
        <w:t>y el</w:t>
      </w:r>
      <w:r w:rsidRPr="002C13F3">
        <w:rPr>
          <w:rFonts w:ascii="Century" w:eastAsiaTheme="minorHAnsi" w:hAnsi="Century" w:cstheme="minorBidi"/>
          <w:sz w:val="24"/>
          <w:szCs w:val="24"/>
          <w:lang w:eastAsia="en-US"/>
        </w:rPr>
        <w:t xml:space="preserve"> 21 por ciento, siendo el valor neto de los bienes heredados el valor de mercado de estos bienes menos las deducciones correspondientes. En Eslovenia, por su parte, los herederos residentes en este Estado están sujetos al impuesto en función del valor del bien heredado y del grado de parentesco con el causante, siendo el tipo impositivo del 0 por ciento para cónyuges y descendientes, y del 5 al 14 por ciento para ascendientes. Por último, en Lituania se establece un tipo de gravamen del 0 por ciento para los herederos residentes más próximos al causante.</w:t>
      </w:r>
    </w:p>
    <w:p w:rsidR="003126CE" w:rsidRPr="002C13F3" w:rsidRDefault="00E00D33" w:rsidP="002D11BC">
      <w:pPr>
        <w:pStyle w:val="HTMLconformatoprevio"/>
        <w:tabs>
          <w:tab w:val="clear" w:pos="916"/>
          <w:tab w:val="left" w:pos="709"/>
        </w:tabs>
        <w:spacing w:after="240" w:line="360" w:lineRule="auto"/>
        <w:jc w:val="both"/>
        <w:rPr>
          <w:rFonts w:ascii="Century" w:eastAsiaTheme="minorHAnsi" w:hAnsi="Century" w:cstheme="minorBidi"/>
          <w:sz w:val="24"/>
          <w:szCs w:val="24"/>
          <w:lang w:eastAsia="en-US"/>
        </w:rPr>
      </w:pPr>
      <w:r>
        <w:rPr>
          <w:rFonts w:ascii="Century" w:eastAsiaTheme="minorHAnsi" w:hAnsi="Century" w:cstheme="minorBidi"/>
          <w:sz w:val="24"/>
          <w:szCs w:val="24"/>
          <w:lang w:eastAsia="en-US"/>
        </w:rPr>
        <w:tab/>
        <w:t>No podemos finalizar la revisión de la normativa de los distintos EM de la UE, sin hacer una breve alusión a lo previsto en nuestro ordenamiento. En nuestro país, e</w:t>
      </w:r>
      <w:r w:rsidR="00224D7F" w:rsidRPr="002C13F3">
        <w:rPr>
          <w:rFonts w:ascii="Century" w:eastAsiaTheme="minorHAnsi" w:hAnsi="Century" w:cstheme="minorBidi"/>
          <w:sz w:val="24"/>
          <w:szCs w:val="24"/>
          <w:lang w:eastAsia="en-US"/>
        </w:rPr>
        <w:t>l criterio de sujeción es el de la residencia,</w:t>
      </w:r>
      <w:r>
        <w:rPr>
          <w:rFonts w:ascii="Century" w:eastAsiaTheme="minorHAnsi" w:hAnsi="Century" w:cstheme="minorBidi"/>
          <w:sz w:val="24"/>
          <w:szCs w:val="24"/>
          <w:lang w:eastAsia="en-US"/>
        </w:rPr>
        <w:t xml:space="preserve"> tal y como</w:t>
      </w:r>
      <w:r w:rsidR="00224D7F" w:rsidRPr="002C13F3">
        <w:rPr>
          <w:rFonts w:ascii="Century" w:eastAsiaTheme="minorHAnsi" w:hAnsi="Century" w:cstheme="minorBidi"/>
          <w:sz w:val="24"/>
          <w:szCs w:val="24"/>
          <w:lang w:eastAsia="en-US"/>
        </w:rPr>
        <w:t xml:space="preserve"> analizaremos más adelante.</w:t>
      </w:r>
      <w:r w:rsidR="00C84BA7" w:rsidRPr="002C13F3">
        <w:rPr>
          <w:rFonts w:ascii="Century" w:eastAsiaTheme="minorHAnsi" w:hAnsi="Century" w:cstheme="minorBidi"/>
          <w:sz w:val="24"/>
          <w:szCs w:val="24"/>
          <w:lang w:eastAsia="en-US"/>
        </w:rPr>
        <w:t xml:space="preserve"> </w:t>
      </w:r>
      <w:r w:rsidR="003126CE" w:rsidRPr="002C13F3">
        <w:rPr>
          <w:rFonts w:ascii="Century" w:eastAsiaTheme="minorHAnsi" w:hAnsi="Century" w:cstheme="minorBidi"/>
          <w:sz w:val="24"/>
          <w:szCs w:val="24"/>
          <w:lang w:eastAsia="en-US"/>
        </w:rPr>
        <w:t>El tipo de gravamen varía entre el 7,65 y el 34 por ciento. No obstante, estos tipos impositivos pueden incrementarse dependiendo del coeficiente multiplicador en función de la cuantía de los tramos del patrimonio preexistente del heredero</w:t>
      </w:r>
      <w:r w:rsidR="009C2E8D">
        <w:rPr>
          <w:rFonts w:ascii="Century" w:eastAsiaTheme="minorHAnsi" w:hAnsi="Century" w:cstheme="minorBidi"/>
          <w:sz w:val="24"/>
          <w:szCs w:val="24"/>
          <w:lang w:eastAsia="en-US"/>
        </w:rPr>
        <w:t>, tal y como</w:t>
      </w:r>
      <w:r w:rsidR="0045727F" w:rsidRPr="002C13F3">
        <w:rPr>
          <w:rFonts w:ascii="Century" w:eastAsiaTheme="minorHAnsi" w:hAnsi="Century" w:cstheme="minorBidi"/>
          <w:sz w:val="24"/>
          <w:szCs w:val="24"/>
          <w:lang w:eastAsia="en-US"/>
        </w:rPr>
        <w:t xml:space="preserve"> veremos</w:t>
      </w:r>
      <w:r w:rsidR="003126CE" w:rsidRPr="002C13F3">
        <w:rPr>
          <w:rFonts w:ascii="Century" w:eastAsiaTheme="minorHAnsi" w:hAnsi="Century" w:cstheme="minorBidi"/>
          <w:sz w:val="24"/>
          <w:szCs w:val="24"/>
          <w:lang w:eastAsia="en-US"/>
        </w:rPr>
        <w:t>. De esta ma</w:t>
      </w:r>
      <w:r w:rsidR="009C2E8D">
        <w:rPr>
          <w:rFonts w:ascii="Century" w:eastAsiaTheme="minorHAnsi" w:hAnsi="Century" w:cstheme="minorBidi"/>
          <w:sz w:val="24"/>
          <w:szCs w:val="24"/>
          <w:lang w:eastAsia="en-US"/>
        </w:rPr>
        <w:t>nera, para las adquisiciones de</w:t>
      </w:r>
      <w:r w:rsidR="003126CE" w:rsidRPr="002C13F3">
        <w:rPr>
          <w:rFonts w:ascii="Century" w:eastAsiaTheme="minorHAnsi" w:hAnsi="Century" w:cstheme="minorBidi"/>
          <w:sz w:val="24"/>
          <w:szCs w:val="24"/>
          <w:lang w:eastAsia="en-US"/>
        </w:rPr>
        <w:t xml:space="preserve"> los cónyuges, ascendientes y descendientes puede alcanzarse un </w:t>
      </w:r>
      <w:r w:rsidR="0045727F" w:rsidRPr="002C13F3">
        <w:rPr>
          <w:rFonts w:ascii="Century" w:eastAsiaTheme="minorHAnsi" w:hAnsi="Century" w:cstheme="minorBidi"/>
          <w:sz w:val="24"/>
          <w:szCs w:val="24"/>
          <w:lang w:eastAsia="en-US"/>
        </w:rPr>
        <w:t>tipo impositivo máximo del 40,8</w:t>
      </w:r>
      <w:r w:rsidR="003126CE" w:rsidRPr="002C13F3">
        <w:rPr>
          <w:rFonts w:ascii="Century" w:eastAsiaTheme="minorHAnsi" w:hAnsi="Century" w:cstheme="minorBidi"/>
          <w:sz w:val="24"/>
          <w:szCs w:val="24"/>
          <w:lang w:eastAsia="en-US"/>
        </w:rPr>
        <w:t xml:space="preserve"> por ciento. Así pues, nuestro </w:t>
      </w:r>
      <w:r w:rsidR="009C2E8D">
        <w:rPr>
          <w:rFonts w:ascii="Century" w:eastAsiaTheme="minorHAnsi" w:hAnsi="Century" w:cstheme="minorBidi"/>
          <w:sz w:val="24"/>
          <w:szCs w:val="24"/>
          <w:lang w:eastAsia="en-US"/>
        </w:rPr>
        <w:t xml:space="preserve">ordenamiento </w:t>
      </w:r>
      <w:r w:rsidR="003126CE" w:rsidRPr="002C13F3">
        <w:rPr>
          <w:rFonts w:ascii="Century" w:eastAsiaTheme="minorHAnsi" w:hAnsi="Century" w:cstheme="minorBidi"/>
          <w:sz w:val="24"/>
          <w:szCs w:val="24"/>
          <w:lang w:eastAsia="en-US"/>
        </w:rPr>
        <w:t>es el único que tiene en cuenta el patrimonio preexistente del heredero y</w:t>
      </w:r>
      <w:r w:rsidR="009C2E8D">
        <w:rPr>
          <w:rFonts w:ascii="Century" w:eastAsiaTheme="minorHAnsi" w:hAnsi="Century" w:cstheme="minorBidi"/>
          <w:sz w:val="24"/>
          <w:szCs w:val="24"/>
          <w:lang w:eastAsia="en-US"/>
        </w:rPr>
        <w:t xml:space="preserve"> </w:t>
      </w:r>
      <w:r w:rsidR="003126CE" w:rsidRPr="002C13F3">
        <w:rPr>
          <w:rFonts w:ascii="Century" w:eastAsiaTheme="minorHAnsi" w:hAnsi="Century" w:cstheme="minorBidi"/>
          <w:sz w:val="24"/>
          <w:szCs w:val="24"/>
          <w:lang w:eastAsia="en-US"/>
        </w:rPr>
        <w:t xml:space="preserve">tipos incrementados en esta materia. </w:t>
      </w:r>
      <w:r w:rsidR="007117A2" w:rsidRPr="002C13F3">
        <w:rPr>
          <w:rFonts w:ascii="Century" w:eastAsiaTheme="minorHAnsi" w:hAnsi="Century" w:cstheme="minorBidi"/>
          <w:sz w:val="24"/>
          <w:szCs w:val="24"/>
          <w:lang w:eastAsia="en-US"/>
        </w:rPr>
        <w:t>No obstante,</w:t>
      </w:r>
      <w:r w:rsidR="009C2E8D">
        <w:rPr>
          <w:rFonts w:ascii="Century" w:eastAsiaTheme="minorHAnsi" w:hAnsi="Century" w:cstheme="minorBidi"/>
          <w:sz w:val="24"/>
          <w:szCs w:val="24"/>
          <w:lang w:eastAsia="en-US"/>
        </w:rPr>
        <w:t xml:space="preserve"> hemos de resaltar que</w:t>
      </w:r>
      <w:r w:rsidR="007117A2" w:rsidRPr="002C13F3">
        <w:rPr>
          <w:rFonts w:ascii="Century" w:eastAsiaTheme="minorHAnsi" w:hAnsi="Century" w:cstheme="minorBidi"/>
          <w:sz w:val="24"/>
          <w:szCs w:val="24"/>
          <w:lang w:eastAsia="en-US"/>
        </w:rPr>
        <w:t xml:space="preserve"> son varias las CCAA que han suprimido </w:t>
      </w:r>
      <w:r w:rsidR="007117A2" w:rsidRPr="002C13F3">
        <w:rPr>
          <w:rFonts w:ascii="Century" w:eastAsiaTheme="minorHAnsi" w:hAnsi="Century" w:cstheme="minorBidi"/>
          <w:sz w:val="24"/>
          <w:szCs w:val="24"/>
          <w:lang w:eastAsia="en-US"/>
        </w:rPr>
        <w:lastRenderedPageBreak/>
        <w:t>prácticamente el impuesto para los parientes más cercanos del causante</w:t>
      </w:r>
      <w:r w:rsidR="009C2E8D">
        <w:rPr>
          <w:rFonts w:ascii="Century" w:eastAsiaTheme="minorHAnsi" w:hAnsi="Century" w:cstheme="minorBidi"/>
          <w:sz w:val="24"/>
          <w:szCs w:val="24"/>
          <w:lang w:eastAsia="en-US"/>
        </w:rPr>
        <w:t>,</w:t>
      </w:r>
      <w:r w:rsidR="007117A2" w:rsidRPr="002C13F3">
        <w:rPr>
          <w:rFonts w:ascii="Century" w:eastAsiaTheme="minorHAnsi" w:hAnsi="Century" w:cstheme="minorBidi"/>
          <w:sz w:val="24"/>
          <w:szCs w:val="24"/>
          <w:lang w:eastAsia="en-US"/>
        </w:rPr>
        <w:t xml:space="preserve"> debido a la aplicación de una serie de beneficios fiscales</w:t>
      </w:r>
      <w:r w:rsidR="009C2E8D">
        <w:rPr>
          <w:rFonts w:ascii="Century" w:eastAsiaTheme="minorHAnsi" w:hAnsi="Century" w:cstheme="minorBidi"/>
          <w:sz w:val="24"/>
          <w:szCs w:val="24"/>
          <w:lang w:eastAsia="en-US"/>
        </w:rPr>
        <w:t>, con los consiguientes problemas que más tarde analizaremos. En cualquier caso, s</w:t>
      </w:r>
      <w:r w:rsidR="007117A2" w:rsidRPr="002C13F3">
        <w:rPr>
          <w:rFonts w:ascii="Century" w:eastAsiaTheme="minorHAnsi" w:hAnsi="Century" w:cstheme="minorBidi"/>
          <w:sz w:val="24"/>
          <w:szCs w:val="24"/>
          <w:lang w:eastAsia="en-US"/>
        </w:rPr>
        <w:t>e aplicarán en primer lugar los b</w:t>
      </w:r>
      <w:r w:rsidR="0045727F" w:rsidRPr="002C13F3">
        <w:rPr>
          <w:rFonts w:ascii="Century" w:eastAsiaTheme="minorHAnsi" w:hAnsi="Century" w:cstheme="minorBidi"/>
          <w:sz w:val="24"/>
          <w:szCs w:val="24"/>
          <w:lang w:eastAsia="en-US"/>
        </w:rPr>
        <w:t xml:space="preserve">eneficios fiscales </w:t>
      </w:r>
      <w:r w:rsidR="009C2E8D">
        <w:rPr>
          <w:rFonts w:ascii="Century" w:eastAsiaTheme="minorHAnsi" w:hAnsi="Century" w:cstheme="minorBidi"/>
          <w:sz w:val="24"/>
          <w:szCs w:val="24"/>
          <w:lang w:eastAsia="en-US"/>
        </w:rPr>
        <w:t>del Estado</w:t>
      </w:r>
      <w:r w:rsidR="00936E66" w:rsidRPr="002C13F3">
        <w:rPr>
          <w:rFonts w:ascii="Century" w:eastAsiaTheme="minorHAnsi" w:hAnsi="Century" w:cstheme="minorBidi"/>
          <w:sz w:val="24"/>
          <w:szCs w:val="24"/>
          <w:lang w:eastAsia="en-US"/>
        </w:rPr>
        <w:t xml:space="preserve"> y</w:t>
      </w:r>
      <w:r w:rsidR="009C2E8D">
        <w:rPr>
          <w:rFonts w:ascii="Century" w:eastAsiaTheme="minorHAnsi" w:hAnsi="Century" w:cstheme="minorBidi"/>
          <w:sz w:val="24"/>
          <w:szCs w:val="24"/>
          <w:lang w:eastAsia="en-US"/>
        </w:rPr>
        <w:t>,</w:t>
      </w:r>
      <w:r w:rsidR="00936E66" w:rsidRPr="002C13F3">
        <w:rPr>
          <w:rFonts w:ascii="Century" w:eastAsiaTheme="minorHAnsi" w:hAnsi="Century" w:cstheme="minorBidi"/>
          <w:sz w:val="24"/>
          <w:szCs w:val="24"/>
          <w:lang w:eastAsia="en-US"/>
        </w:rPr>
        <w:t xml:space="preserve"> a continuación, lo</w:t>
      </w:r>
      <w:r w:rsidR="003126CE" w:rsidRPr="002C13F3">
        <w:rPr>
          <w:rFonts w:ascii="Century" w:eastAsiaTheme="minorHAnsi" w:hAnsi="Century" w:cstheme="minorBidi"/>
          <w:sz w:val="24"/>
          <w:szCs w:val="24"/>
          <w:lang w:eastAsia="en-US"/>
        </w:rPr>
        <w:t>s de las CCAA</w:t>
      </w:r>
      <w:r w:rsidR="009C2E8D">
        <w:rPr>
          <w:rFonts w:ascii="Century" w:eastAsiaTheme="minorHAnsi" w:hAnsi="Century" w:cstheme="minorBidi"/>
          <w:sz w:val="24"/>
          <w:szCs w:val="24"/>
          <w:lang w:eastAsia="en-US"/>
        </w:rPr>
        <w:t xml:space="preserve"> como detallaremos.</w:t>
      </w:r>
    </w:p>
    <w:p w:rsidR="00B63959" w:rsidRPr="002C13F3" w:rsidRDefault="004C179E" w:rsidP="002D11BC">
      <w:pPr>
        <w:pStyle w:val="HTMLconformatoprevio"/>
        <w:tabs>
          <w:tab w:val="clear" w:pos="916"/>
          <w:tab w:val="left" w:pos="709"/>
        </w:tabs>
        <w:spacing w:after="240" w:line="360" w:lineRule="auto"/>
        <w:jc w:val="both"/>
        <w:rPr>
          <w:rFonts w:ascii="Century" w:eastAsiaTheme="minorHAnsi" w:hAnsi="Century" w:cstheme="minorBidi"/>
          <w:sz w:val="24"/>
          <w:szCs w:val="24"/>
          <w:lang w:eastAsia="en-US"/>
        </w:rPr>
      </w:pPr>
      <w:r w:rsidRPr="002C13F3">
        <w:rPr>
          <w:rFonts w:ascii="Century" w:eastAsiaTheme="minorHAnsi" w:hAnsi="Century" w:cstheme="minorBidi"/>
          <w:sz w:val="24"/>
          <w:szCs w:val="24"/>
          <w:lang w:eastAsia="en-US"/>
        </w:rPr>
        <w:tab/>
      </w:r>
      <w:r w:rsidR="009C2E8D">
        <w:rPr>
          <w:rFonts w:ascii="Century" w:eastAsiaTheme="minorHAnsi" w:hAnsi="Century" w:cstheme="minorBidi"/>
          <w:sz w:val="24"/>
          <w:szCs w:val="24"/>
          <w:lang w:eastAsia="en-US"/>
        </w:rPr>
        <w:t xml:space="preserve">De acuerdo con todo lo expuesto, podemos llegar a una importante conclusión. </w:t>
      </w:r>
      <w:r w:rsidR="001E58E9">
        <w:rPr>
          <w:rFonts w:ascii="Century" w:eastAsiaTheme="minorHAnsi" w:hAnsi="Century" w:cstheme="minorBidi"/>
          <w:sz w:val="24"/>
          <w:szCs w:val="24"/>
          <w:lang w:eastAsia="en-US"/>
        </w:rPr>
        <w:t>D</w:t>
      </w:r>
      <w:r w:rsidRPr="002C13F3">
        <w:rPr>
          <w:rFonts w:ascii="Century" w:eastAsiaTheme="minorHAnsi" w:hAnsi="Century" w:cstheme="minorBidi"/>
          <w:sz w:val="24"/>
          <w:szCs w:val="24"/>
          <w:lang w:eastAsia="en-US"/>
        </w:rPr>
        <w:t>ebido a la existencia de diferentes normativas fiscales sobre las sucesiones de los EM</w:t>
      </w:r>
      <w:r w:rsidR="009C2E8D">
        <w:rPr>
          <w:rFonts w:ascii="Century" w:eastAsiaTheme="minorHAnsi" w:hAnsi="Century" w:cstheme="minorBidi"/>
          <w:sz w:val="24"/>
          <w:szCs w:val="24"/>
          <w:lang w:eastAsia="en-US"/>
        </w:rPr>
        <w:t>,</w:t>
      </w:r>
      <w:r w:rsidRPr="002C13F3">
        <w:rPr>
          <w:rFonts w:ascii="Century" w:eastAsiaTheme="minorHAnsi" w:hAnsi="Century" w:cstheme="minorBidi"/>
          <w:sz w:val="24"/>
          <w:szCs w:val="24"/>
          <w:lang w:eastAsia="en-US"/>
        </w:rPr>
        <w:t xml:space="preserve"> que aplican diferentes criterios de sujeción, tipos impositivos y beneficios fiscales, los </w:t>
      </w:r>
      <w:r w:rsidR="001E58E9">
        <w:rPr>
          <w:rFonts w:ascii="Century" w:eastAsiaTheme="minorHAnsi" w:hAnsi="Century" w:cstheme="minorBidi"/>
          <w:sz w:val="24"/>
          <w:szCs w:val="24"/>
          <w:lang w:eastAsia="en-US"/>
        </w:rPr>
        <w:t>contribuyentes</w:t>
      </w:r>
      <w:r w:rsidRPr="002C13F3">
        <w:rPr>
          <w:rFonts w:ascii="Century" w:eastAsiaTheme="minorHAnsi" w:hAnsi="Century" w:cstheme="minorBidi"/>
          <w:sz w:val="24"/>
          <w:szCs w:val="24"/>
          <w:lang w:eastAsia="en-US"/>
        </w:rPr>
        <w:t xml:space="preserve"> reciben un trato desigual dependiendo de si son o no residentes, nacionales o domiciliados en cada Estado</w:t>
      </w:r>
      <w:r w:rsidR="008015B3">
        <w:rPr>
          <w:rFonts w:ascii="Century" w:eastAsiaTheme="minorHAnsi" w:hAnsi="Century" w:cstheme="minorBidi"/>
          <w:sz w:val="24"/>
          <w:szCs w:val="24"/>
          <w:lang w:eastAsia="en-US"/>
        </w:rPr>
        <w:t xml:space="preserve"> miembro. </w:t>
      </w:r>
      <w:r w:rsidRPr="002C13F3">
        <w:rPr>
          <w:rFonts w:ascii="Century" w:eastAsiaTheme="minorHAnsi" w:hAnsi="Century" w:cstheme="minorBidi"/>
          <w:sz w:val="24"/>
          <w:szCs w:val="24"/>
          <w:lang w:eastAsia="en-US"/>
        </w:rPr>
        <w:t xml:space="preserve">Este hecho ha provocado </w:t>
      </w:r>
      <w:r w:rsidR="009C2E8D">
        <w:rPr>
          <w:rFonts w:ascii="Century" w:eastAsiaTheme="minorHAnsi" w:hAnsi="Century" w:cstheme="minorBidi"/>
          <w:sz w:val="24"/>
          <w:szCs w:val="24"/>
          <w:lang w:eastAsia="en-US"/>
        </w:rPr>
        <w:t xml:space="preserve">situaciones de desigualdad </w:t>
      </w:r>
      <w:r w:rsidRPr="002C13F3">
        <w:rPr>
          <w:rFonts w:ascii="Century" w:eastAsiaTheme="minorHAnsi" w:hAnsi="Century" w:cstheme="minorBidi"/>
          <w:sz w:val="24"/>
          <w:szCs w:val="24"/>
          <w:lang w:eastAsia="en-US"/>
        </w:rPr>
        <w:t>que la Comisión Europea</w:t>
      </w:r>
      <w:r w:rsidR="009C2E8D">
        <w:rPr>
          <w:rFonts w:ascii="Century" w:eastAsiaTheme="minorHAnsi" w:hAnsi="Century" w:cstheme="minorBidi"/>
          <w:sz w:val="24"/>
          <w:szCs w:val="24"/>
          <w:lang w:eastAsia="en-US"/>
        </w:rPr>
        <w:t xml:space="preserve"> ha llevado </w:t>
      </w:r>
      <w:r w:rsidRPr="002C13F3">
        <w:rPr>
          <w:rFonts w:ascii="Century" w:eastAsiaTheme="minorHAnsi" w:hAnsi="Century" w:cstheme="minorBidi"/>
          <w:sz w:val="24"/>
          <w:szCs w:val="24"/>
          <w:lang w:eastAsia="en-US"/>
        </w:rPr>
        <w:t>ante el TJUE</w:t>
      </w:r>
      <w:r w:rsidR="009C2E8D">
        <w:rPr>
          <w:rFonts w:ascii="Century" w:eastAsiaTheme="minorHAnsi" w:hAnsi="Century" w:cstheme="minorBidi"/>
          <w:sz w:val="24"/>
          <w:szCs w:val="24"/>
          <w:lang w:eastAsia="en-US"/>
        </w:rPr>
        <w:t>,</w:t>
      </w:r>
      <w:r w:rsidRPr="002C13F3">
        <w:rPr>
          <w:rFonts w:ascii="Century" w:eastAsiaTheme="minorHAnsi" w:hAnsi="Century" w:cstheme="minorBidi"/>
          <w:sz w:val="24"/>
          <w:szCs w:val="24"/>
          <w:lang w:eastAsia="en-US"/>
        </w:rPr>
        <w:t xml:space="preserve"> </w:t>
      </w:r>
      <w:r w:rsidRPr="00537025">
        <w:rPr>
          <w:rFonts w:ascii="Century" w:eastAsiaTheme="minorHAnsi" w:hAnsi="Century" w:cstheme="minorBidi"/>
          <w:sz w:val="24"/>
          <w:szCs w:val="24"/>
          <w:lang w:eastAsia="en-US"/>
        </w:rPr>
        <w:t xml:space="preserve">para que </w:t>
      </w:r>
      <w:r w:rsidR="009C2E8D" w:rsidRPr="00537025">
        <w:rPr>
          <w:rFonts w:ascii="Century" w:eastAsiaTheme="minorHAnsi" w:hAnsi="Century" w:cstheme="minorBidi"/>
          <w:sz w:val="24"/>
          <w:szCs w:val="24"/>
          <w:lang w:eastAsia="en-US"/>
        </w:rPr>
        <w:t>éste se pronuncie sobre la</w:t>
      </w:r>
      <w:r w:rsidR="00537025" w:rsidRPr="00537025">
        <w:rPr>
          <w:rFonts w:ascii="Century" w:eastAsiaTheme="minorHAnsi" w:hAnsi="Century" w:cstheme="minorBidi"/>
          <w:sz w:val="24"/>
          <w:szCs w:val="24"/>
          <w:lang w:eastAsia="en-US"/>
        </w:rPr>
        <w:t xml:space="preserve"> existencia o no de</w:t>
      </w:r>
      <w:r w:rsidR="00363D94" w:rsidRPr="00537025">
        <w:rPr>
          <w:rFonts w:ascii="Century" w:eastAsiaTheme="minorHAnsi" w:hAnsi="Century" w:cstheme="minorBidi"/>
          <w:sz w:val="24"/>
          <w:szCs w:val="24"/>
          <w:lang w:eastAsia="en-US"/>
        </w:rPr>
        <w:t xml:space="preserve"> discriminaciones producidas </w:t>
      </w:r>
      <w:r w:rsidR="00537025" w:rsidRPr="00537025">
        <w:rPr>
          <w:rFonts w:ascii="Century" w:eastAsiaTheme="minorHAnsi" w:hAnsi="Century" w:cstheme="minorBidi"/>
          <w:sz w:val="24"/>
          <w:szCs w:val="24"/>
          <w:lang w:eastAsia="en-US"/>
        </w:rPr>
        <w:t>por estas desigualdades, y s</w:t>
      </w:r>
      <w:r w:rsidR="008015B3">
        <w:rPr>
          <w:rFonts w:ascii="Century" w:eastAsiaTheme="minorHAnsi" w:hAnsi="Century" w:cstheme="minorBidi"/>
          <w:sz w:val="24"/>
          <w:szCs w:val="24"/>
          <w:lang w:eastAsia="en-US"/>
        </w:rPr>
        <w:t>i en consecuencia estas generan</w:t>
      </w:r>
      <w:r w:rsidR="009C2E8D" w:rsidRPr="00537025">
        <w:rPr>
          <w:rFonts w:ascii="Century" w:eastAsiaTheme="minorHAnsi" w:hAnsi="Century" w:cstheme="minorBidi"/>
          <w:sz w:val="24"/>
          <w:szCs w:val="24"/>
          <w:lang w:eastAsia="en-US"/>
        </w:rPr>
        <w:t xml:space="preserve"> </w:t>
      </w:r>
      <w:r w:rsidR="00537025" w:rsidRPr="00537025">
        <w:rPr>
          <w:rFonts w:ascii="Century" w:eastAsiaTheme="minorHAnsi" w:hAnsi="Century" w:cstheme="minorBidi"/>
          <w:sz w:val="24"/>
          <w:szCs w:val="24"/>
          <w:lang w:eastAsia="en-US"/>
        </w:rPr>
        <w:t>vulneraciones d</w:t>
      </w:r>
      <w:r w:rsidR="00363D94" w:rsidRPr="00537025">
        <w:rPr>
          <w:rFonts w:ascii="Century" w:eastAsiaTheme="minorHAnsi" w:hAnsi="Century" w:cstheme="minorBidi"/>
          <w:sz w:val="24"/>
          <w:szCs w:val="24"/>
          <w:lang w:eastAsia="en-US"/>
        </w:rPr>
        <w:t xml:space="preserve">el principio </w:t>
      </w:r>
      <w:r w:rsidR="009C2E8D" w:rsidRPr="00537025">
        <w:rPr>
          <w:rFonts w:ascii="Century" w:eastAsiaTheme="minorHAnsi" w:hAnsi="Century" w:cstheme="minorBidi"/>
          <w:sz w:val="24"/>
          <w:szCs w:val="24"/>
          <w:lang w:eastAsia="en-US"/>
        </w:rPr>
        <w:t xml:space="preserve">comunitario </w:t>
      </w:r>
      <w:r w:rsidR="000862AE" w:rsidRPr="00537025">
        <w:rPr>
          <w:rFonts w:ascii="Century" w:eastAsiaTheme="minorHAnsi" w:hAnsi="Century" w:cstheme="minorBidi"/>
          <w:sz w:val="24"/>
          <w:szCs w:val="24"/>
          <w:lang w:eastAsia="en-US"/>
        </w:rPr>
        <w:t>de</w:t>
      </w:r>
      <w:r w:rsidR="00363D94" w:rsidRPr="00537025">
        <w:rPr>
          <w:rFonts w:ascii="Century" w:eastAsiaTheme="minorHAnsi" w:hAnsi="Century" w:cstheme="minorBidi"/>
          <w:sz w:val="24"/>
          <w:szCs w:val="24"/>
          <w:lang w:eastAsia="en-US"/>
        </w:rPr>
        <w:t xml:space="preserve"> la</w:t>
      </w:r>
      <w:r w:rsidR="000862AE" w:rsidRPr="00537025">
        <w:rPr>
          <w:rFonts w:ascii="Century" w:eastAsiaTheme="minorHAnsi" w:hAnsi="Century" w:cstheme="minorBidi"/>
          <w:sz w:val="24"/>
          <w:szCs w:val="24"/>
          <w:lang w:eastAsia="en-US"/>
        </w:rPr>
        <w:t xml:space="preserve"> li</w:t>
      </w:r>
      <w:r w:rsidR="009C2E8D" w:rsidRPr="00537025">
        <w:rPr>
          <w:rFonts w:ascii="Century" w:eastAsiaTheme="minorHAnsi" w:hAnsi="Century" w:cstheme="minorBidi"/>
          <w:sz w:val="24"/>
          <w:szCs w:val="24"/>
          <w:lang w:eastAsia="en-US"/>
        </w:rPr>
        <w:t>bre circulación de capitales, regulado</w:t>
      </w:r>
      <w:r w:rsidR="00363D94" w:rsidRPr="00537025">
        <w:rPr>
          <w:rFonts w:ascii="Century" w:eastAsiaTheme="minorHAnsi" w:hAnsi="Century" w:cstheme="minorBidi"/>
          <w:sz w:val="24"/>
          <w:szCs w:val="24"/>
          <w:lang w:eastAsia="en-US"/>
        </w:rPr>
        <w:t xml:space="preserve"> </w:t>
      </w:r>
      <w:r w:rsidR="00A3455C">
        <w:rPr>
          <w:rFonts w:ascii="Century" w:eastAsiaTheme="minorHAnsi" w:hAnsi="Century" w:cstheme="minorBidi"/>
          <w:sz w:val="24"/>
          <w:szCs w:val="24"/>
          <w:lang w:eastAsia="en-US"/>
        </w:rPr>
        <w:t xml:space="preserve">en </w:t>
      </w:r>
      <w:r w:rsidR="00363D94" w:rsidRPr="00537025">
        <w:rPr>
          <w:rFonts w:ascii="Century" w:eastAsiaTheme="minorHAnsi" w:hAnsi="Century" w:cstheme="minorBidi"/>
          <w:sz w:val="24"/>
          <w:szCs w:val="24"/>
          <w:lang w:eastAsia="en-US"/>
        </w:rPr>
        <w:t>el art</w:t>
      </w:r>
      <w:r w:rsidR="009C2E8D" w:rsidRPr="00537025">
        <w:rPr>
          <w:rFonts w:ascii="Century" w:eastAsiaTheme="minorHAnsi" w:hAnsi="Century" w:cstheme="minorBidi"/>
          <w:sz w:val="24"/>
          <w:szCs w:val="24"/>
          <w:lang w:eastAsia="en-US"/>
        </w:rPr>
        <w:t xml:space="preserve">. </w:t>
      </w:r>
      <w:r w:rsidR="000862AE" w:rsidRPr="00537025">
        <w:rPr>
          <w:rFonts w:ascii="Century" w:eastAsiaTheme="minorHAnsi" w:hAnsi="Century" w:cstheme="minorBidi"/>
          <w:sz w:val="24"/>
          <w:szCs w:val="24"/>
          <w:lang w:eastAsia="en-US"/>
        </w:rPr>
        <w:t xml:space="preserve">63 </w:t>
      </w:r>
      <w:r w:rsidR="00363D94" w:rsidRPr="00537025">
        <w:rPr>
          <w:rFonts w:ascii="Century" w:eastAsiaTheme="minorHAnsi" w:hAnsi="Century" w:cstheme="minorBidi"/>
          <w:sz w:val="24"/>
          <w:szCs w:val="24"/>
          <w:lang w:eastAsia="en-US"/>
        </w:rPr>
        <w:t>del TFUE</w:t>
      </w:r>
      <w:r w:rsidR="009C2E8D" w:rsidRPr="00537025">
        <w:rPr>
          <w:rFonts w:ascii="Century" w:eastAsiaTheme="minorHAnsi" w:hAnsi="Century" w:cstheme="minorBidi"/>
          <w:sz w:val="24"/>
          <w:szCs w:val="24"/>
          <w:lang w:eastAsia="en-US"/>
        </w:rPr>
        <w:t>.</w:t>
      </w:r>
    </w:p>
    <w:p w:rsidR="003126CE" w:rsidRDefault="0071398F" w:rsidP="002D11BC">
      <w:pPr>
        <w:pStyle w:val="HTMLconformatoprevio"/>
        <w:tabs>
          <w:tab w:val="clear" w:pos="916"/>
          <w:tab w:val="left" w:pos="709"/>
        </w:tabs>
        <w:spacing w:after="240" w:line="360" w:lineRule="auto"/>
        <w:ind w:left="709"/>
        <w:jc w:val="both"/>
        <w:rPr>
          <w:rFonts w:ascii="Century" w:eastAsiaTheme="minorHAnsi" w:hAnsi="Century" w:cstheme="minorBidi"/>
          <w:b/>
          <w:sz w:val="24"/>
          <w:szCs w:val="24"/>
          <w:lang w:eastAsia="en-US"/>
        </w:rPr>
      </w:pPr>
      <w:r w:rsidRPr="002C13F3">
        <w:rPr>
          <w:rFonts w:ascii="Century" w:eastAsiaTheme="minorHAnsi" w:hAnsi="Century" w:cstheme="minorBidi"/>
          <w:b/>
          <w:sz w:val="24"/>
          <w:szCs w:val="24"/>
          <w:lang w:eastAsia="en-US"/>
        </w:rPr>
        <w:t>2</w:t>
      </w:r>
      <w:r w:rsidR="004C179E" w:rsidRPr="002C13F3">
        <w:rPr>
          <w:rFonts w:ascii="Century" w:eastAsiaTheme="minorHAnsi" w:hAnsi="Century" w:cstheme="minorBidi"/>
          <w:b/>
          <w:sz w:val="24"/>
          <w:szCs w:val="24"/>
          <w:lang w:eastAsia="en-US"/>
        </w:rPr>
        <w:t xml:space="preserve">.3.2. </w:t>
      </w:r>
      <w:r w:rsidR="005302AD">
        <w:rPr>
          <w:rFonts w:ascii="Century" w:eastAsiaTheme="minorHAnsi" w:hAnsi="Century" w:cstheme="minorBidi"/>
          <w:b/>
          <w:sz w:val="24"/>
          <w:szCs w:val="24"/>
          <w:lang w:eastAsia="en-US"/>
        </w:rPr>
        <w:t>Problemas derivados de las diferentes regulaciones estatales</w:t>
      </w:r>
    </w:p>
    <w:p w:rsidR="003126CE" w:rsidRDefault="003126CE" w:rsidP="002D11BC">
      <w:pPr>
        <w:pStyle w:val="HTMLconformatoprevio"/>
        <w:tabs>
          <w:tab w:val="clear" w:pos="916"/>
          <w:tab w:val="left" w:pos="709"/>
        </w:tabs>
        <w:spacing w:after="240" w:line="360" w:lineRule="auto"/>
        <w:jc w:val="both"/>
        <w:rPr>
          <w:rFonts w:ascii="Century" w:eastAsiaTheme="minorHAnsi" w:hAnsi="Century" w:cstheme="minorBidi"/>
          <w:color w:val="FF0000"/>
          <w:sz w:val="24"/>
          <w:szCs w:val="24"/>
          <w:lang w:eastAsia="en-US"/>
        </w:rPr>
      </w:pPr>
      <w:r w:rsidRPr="002C13F3">
        <w:rPr>
          <w:rFonts w:ascii="Century" w:eastAsiaTheme="minorHAnsi" w:hAnsi="Century" w:cstheme="minorBidi"/>
          <w:sz w:val="24"/>
          <w:szCs w:val="24"/>
          <w:lang w:eastAsia="en-US"/>
        </w:rPr>
        <w:tab/>
      </w:r>
      <w:r w:rsidR="005302AD">
        <w:rPr>
          <w:rFonts w:ascii="Century" w:eastAsiaTheme="minorHAnsi" w:hAnsi="Century" w:cstheme="minorBidi"/>
          <w:sz w:val="24"/>
          <w:szCs w:val="24"/>
          <w:lang w:eastAsia="en-US"/>
        </w:rPr>
        <w:t>La diversidad de regulaciones estatales de los países que integran la UE ha generado concretos problemas que han finalizado con pronunciamientos jurisprudenciales. Así, e</w:t>
      </w:r>
      <w:r w:rsidRPr="002C13F3">
        <w:rPr>
          <w:rFonts w:ascii="Century" w:eastAsiaTheme="minorHAnsi" w:hAnsi="Century" w:cstheme="minorBidi"/>
          <w:sz w:val="24"/>
          <w:szCs w:val="24"/>
          <w:lang w:eastAsia="en-US"/>
        </w:rPr>
        <w:t>l TJUE ya se ha pronunciado en algunos asuntos en los que se ha</w:t>
      </w:r>
      <w:r w:rsidR="00490F5B">
        <w:rPr>
          <w:rFonts w:ascii="Century" w:eastAsiaTheme="minorHAnsi" w:hAnsi="Century" w:cstheme="minorBidi"/>
          <w:sz w:val="24"/>
          <w:szCs w:val="24"/>
          <w:lang w:eastAsia="en-US"/>
        </w:rPr>
        <w:t>n</w:t>
      </w:r>
      <w:r w:rsidRPr="002C13F3">
        <w:rPr>
          <w:rFonts w:ascii="Century" w:eastAsiaTheme="minorHAnsi" w:hAnsi="Century" w:cstheme="minorBidi"/>
          <w:sz w:val="24"/>
          <w:szCs w:val="24"/>
          <w:lang w:eastAsia="en-US"/>
        </w:rPr>
        <w:t xml:space="preserve"> enjuiciado</w:t>
      </w:r>
      <w:r w:rsidR="00980428">
        <w:rPr>
          <w:rFonts w:ascii="Century" w:eastAsiaTheme="minorHAnsi" w:hAnsi="Century" w:cstheme="minorBidi"/>
          <w:sz w:val="24"/>
          <w:szCs w:val="24"/>
          <w:lang w:eastAsia="en-US"/>
        </w:rPr>
        <w:t xml:space="preserve"> </w:t>
      </w:r>
      <w:r w:rsidR="00980428" w:rsidRPr="00537025">
        <w:rPr>
          <w:rFonts w:ascii="Century" w:eastAsiaTheme="minorHAnsi" w:hAnsi="Century" w:cstheme="minorBidi"/>
          <w:sz w:val="24"/>
          <w:szCs w:val="24"/>
          <w:lang w:eastAsia="en-US"/>
        </w:rPr>
        <w:t>discriminaciones encubiertas a la posible vulneración de</w:t>
      </w:r>
      <w:r w:rsidRPr="00537025">
        <w:rPr>
          <w:rFonts w:ascii="Century" w:eastAsiaTheme="minorHAnsi" w:hAnsi="Century" w:cstheme="minorBidi"/>
          <w:sz w:val="24"/>
          <w:szCs w:val="24"/>
          <w:lang w:eastAsia="en-US"/>
        </w:rPr>
        <w:t>l</w:t>
      </w:r>
      <w:r w:rsidR="00980428" w:rsidRPr="00537025">
        <w:rPr>
          <w:rFonts w:ascii="Century" w:eastAsiaTheme="minorHAnsi" w:hAnsi="Century" w:cstheme="minorBidi"/>
          <w:sz w:val="24"/>
          <w:szCs w:val="24"/>
          <w:lang w:eastAsia="en-US"/>
        </w:rPr>
        <w:t xml:space="preserve"> </w:t>
      </w:r>
      <w:r w:rsidR="005302AD" w:rsidRPr="00537025">
        <w:rPr>
          <w:rFonts w:ascii="Century" w:eastAsiaTheme="minorHAnsi" w:hAnsi="Century" w:cstheme="minorBidi"/>
          <w:sz w:val="24"/>
          <w:szCs w:val="24"/>
          <w:lang w:eastAsia="en-US"/>
        </w:rPr>
        <w:t>principio comunitario de libre circulación</w:t>
      </w:r>
      <w:r w:rsidR="00980428" w:rsidRPr="00537025">
        <w:rPr>
          <w:rFonts w:ascii="Century" w:eastAsiaTheme="minorHAnsi" w:hAnsi="Century" w:cstheme="minorBidi"/>
          <w:sz w:val="24"/>
          <w:szCs w:val="24"/>
          <w:lang w:eastAsia="en-US"/>
        </w:rPr>
        <w:t xml:space="preserve"> de capitales</w:t>
      </w:r>
      <w:r w:rsidR="005302AD" w:rsidRPr="00537025">
        <w:rPr>
          <w:rFonts w:ascii="Century" w:eastAsiaTheme="minorHAnsi" w:hAnsi="Century" w:cstheme="minorBidi"/>
          <w:sz w:val="24"/>
          <w:szCs w:val="24"/>
          <w:lang w:eastAsia="en-US"/>
        </w:rPr>
        <w:t xml:space="preserve"> </w:t>
      </w:r>
      <w:r w:rsidR="0047144E" w:rsidRPr="00537025">
        <w:rPr>
          <w:rFonts w:ascii="Century" w:eastAsiaTheme="minorHAnsi" w:hAnsi="Century" w:cstheme="minorBidi"/>
          <w:sz w:val="24"/>
          <w:szCs w:val="24"/>
          <w:lang w:eastAsia="en-US"/>
        </w:rPr>
        <w:t>en las sucesiones transfronterizas</w:t>
      </w:r>
      <w:r w:rsidR="005302AD">
        <w:rPr>
          <w:rFonts w:ascii="Century" w:eastAsiaTheme="minorHAnsi" w:hAnsi="Century" w:cstheme="minorBidi"/>
          <w:sz w:val="24"/>
          <w:szCs w:val="24"/>
          <w:lang w:eastAsia="en-US"/>
        </w:rPr>
        <w:t xml:space="preserve">. </w:t>
      </w:r>
    </w:p>
    <w:p w:rsidR="0010595B" w:rsidRDefault="005302AD" w:rsidP="002D11BC">
      <w:pPr>
        <w:pStyle w:val="HTMLconformatoprevio"/>
        <w:tabs>
          <w:tab w:val="clear" w:pos="916"/>
          <w:tab w:val="left" w:pos="709"/>
        </w:tabs>
        <w:spacing w:after="240" w:line="360" w:lineRule="auto"/>
        <w:jc w:val="both"/>
        <w:rPr>
          <w:rFonts w:ascii="Century" w:eastAsiaTheme="minorHAnsi" w:hAnsi="Century" w:cstheme="minorBidi"/>
          <w:sz w:val="24"/>
          <w:szCs w:val="24"/>
          <w:lang w:eastAsia="en-US"/>
        </w:rPr>
      </w:pPr>
      <w:r>
        <w:rPr>
          <w:rFonts w:ascii="Century" w:eastAsiaTheme="minorHAnsi" w:hAnsi="Century" w:cstheme="minorBidi"/>
          <w:sz w:val="24"/>
          <w:szCs w:val="24"/>
          <w:lang w:eastAsia="en-US"/>
        </w:rPr>
        <w:tab/>
        <w:t>L</w:t>
      </w:r>
      <w:r w:rsidR="00EE4E3A">
        <w:rPr>
          <w:rFonts w:ascii="Century" w:eastAsiaTheme="minorHAnsi" w:hAnsi="Century" w:cstheme="minorBidi"/>
          <w:sz w:val="24"/>
          <w:szCs w:val="24"/>
          <w:lang w:eastAsia="en-US"/>
        </w:rPr>
        <w:t>a STJC</w:t>
      </w:r>
      <w:r w:rsidR="003126CE" w:rsidRPr="002C13F3">
        <w:rPr>
          <w:rFonts w:ascii="Century" w:eastAsiaTheme="minorHAnsi" w:hAnsi="Century" w:cstheme="minorBidi"/>
          <w:sz w:val="24"/>
          <w:szCs w:val="24"/>
          <w:lang w:eastAsia="en-US"/>
        </w:rPr>
        <w:t>E de 11 de septiembre de 2008, asunto C-43/07,</w:t>
      </w:r>
      <w:r>
        <w:rPr>
          <w:rFonts w:ascii="Century" w:eastAsiaTheme="minorHAnsi" w:hAnsi="Century" w:cstheme="minorBidi"/>
          <w:sz w:val="24"/>
          <w:szCs w:val="24"/>
          <w:lang w:eastAsia="en-US"/>
        </w:rPr>
        <w:t xml:space="preserve"> se pronuncia</w:t>
      </w:r>
      <w:r w:rsidR="00EE6D44" w:rsidRPr="002C13F3">
        <w:rPr>
          <w:rFonts w:ascii="Century" w:eastAsiaTheme="minorHAnsi" w:hAnsi="Century" w:cstheme="minorBidi"/>
          <w:sz w:val="24"/>
          <w:szCs w:val="24"/>
          <w:lang w:eastAsia="en-US"/>
        </w:rPr>
        <w:t xml:space="preserve"> sobre </w:t>
      </w:r>
      <w:r>
        <w:rPr>
          <w:rFonts w:ascii="Century" w:eastAsiaTheme="minorHAnsi" w:hAnsi="Century" w:cstheme="minorBidi"/>
          <w:sz w:val="24"/>
          <w:szCs w:val="24"/>
          <w:lang w:eastAsia="en-US"/>
        </w:rPr>
        <w:t xml:space="preserve">la posible </w:t>
      </w:r>
      <w:r w:rsidR="00EE6D44" w:rsidRPr="002C13F3">
        <w:rPr>
          <w:rFonts w:ascii="Century" w:eastAsiaTheme="minorHAnsi" w:hAnsi="Century" w:cstheme="minorBidi"/>
          <w:sz w:val="24"/>
          <w:szCs w:val="24"/>
          <w:lang w:eastAsia="en-US"/>
        </w:rPr>
        <w:t>vulneración</w:t>
      </w:r>
      <w:r w:rsidR="0061613B" w:rsidRPr="002C13F3">
        <w:rPr>
          <w:rFonts w:ascii="Century" w:eastAsiaTheme="minorHAnsi" w:hAnsi="Century" w:cstheme="minorBidi"/>
          <w:sz w:val="24"/>
          <w:szCs w:val="24"/>
          <w:lang w:eastAsia="en-US"/>
        </w:rPr>
        <w:t xml:space="preserve"> de</w:t>
      </w:r>
      <w:r>
        <w:rPr>
          <w:rFonts w:ascii="Century" w:eastAsiaTheme="minorHAnsi" w:hAnsi="Century" w:cstheme="minorBidi"/>
          <w:sz w:val="24"/>
          <w:szCs w:val="24"/>
          <w:lang w:eastAsia="en-US"/>
        </w:rPr>
        <w:t>l principio de</w:t>
      </w:r>
      <w:r w:rsidR="00EE6D44" w:rsidRPr="002C13F3">
        <w:rPr>
          <w:rFonts w:ascii="Century" w:eastAsiaTheme="minorHAnsi" w:hAnsi="Century" w:cstheme="minorBidi"/>
          <w:sz w:val="24"/>
          <w:szCs w:val="24"/>
          <w:lang w:eastAsia="en-US"/>
        </w:rPr>
        <w:t xml:space="preserve"> la libre circulación de capitales</w:t>
      </w:r>
      <w:r>
        <w:rPr>
          <w:rFonts w:ascii="Century" w:eastAsiaTheme="minorHAnsi" w:hAnsi="Century" w:cstheme="minorBidi"/>
          <w:sz w:val="24"/>
          <w:szCs w:val="24"/>
          <w:lang w:eastAsia="en-US"/>
        </w:rPr>
        <w:t xml:space="preserve"> en un asunto concreto. E</w:t>
      </w:r>
      <w:r w:rsidR="003126CE" w:rsidRPr="002C13F3">
        <w:rPr>
          <w:rFonts w:ascii="Century" w:eastAsiaTheme="minorHAnsi" w:hAnsi="Century" w:cstheme="minorBidi"/>
          <w:sz w:val="24"/>
          <w:szCs w:val="24"/>
          <w:lang w:eastAsia="en-US"/>
        </w:rPr>
        <w:t>l</w:t>
      </w:r>
      <w:r>
        <w:rPr>
          <w:rFonts w:ascii="Century" w:eastAsiaTheme="minorHAnsi" w:hAnsi="Century" w:cstheme="minorBidi"/>
          <w:sz w:val="24"/>
          <w:szCs w:val="24"/>
          <w:lang w:eastAsia="en-US"/>
        </w:rPr>
        <w:t xml:space="preserve"> citado</w:t>
      </w:r>
      <w:r w:rsidR="003126CE" w:rsidRPr="002C13F3">
        <w:rPr>
          <w:rFonts w:ascii="Century" w:eastAsiaTheme="minorHAnsi" w:hAnsi="Century" w:cstheme="minorBidi"/>
          <w:sz w:val="24"/>
          <w:szCs w:val="24"/>
          <w:lang w:eastAsia="en-US"/>
        </w:rPr>
        <w:t xml:space="preserve"> Tribunal </w:t>
      </w:r>
      <w:r>
        <w:rPr>
          <w:rFonts w:ascii="Century" w:eastAsiaTheme="minorHAnsi" w:hAnsi="Century" w:cstheme="minorBidi"/>
          <w:sz w:val="24"/>
          <w:szCs w:val="24"/>
          <w:lang w:eastAsia="en-US"/>
        </w:rPr>
        <w:t>considera en este caso que la</w:t>
      </w:r>
      <w:r w:rsidR="003126CE" w:rsidRPr="002C13F3">
        <w:rPr>
          <w:rFonts w:ascii="Century" w:eastAsiaTheme="minorHAnsi" w:hAnsi="Century" w:cstheme="minorBidi"/>
          <w:sz w:val="24"/>
          <w:szCs w:val="24"/>
          <w:lang w:eastAsia="en-US"/>
        </w:rPr>
        <w:t xml:space="preserve"> normativa nacional de los Países Bajos</w:t>
      </w:r>
      <w:r>
        <w:rPr>
          <w:rFonts w:ascii="Century" w:eastAsiaTheme="minorHAnsi" w:hAnsi="Century" w:cstheme="minorBidi"/>
          <w:sz w:val="24"/>
          <w:szCs w:val="24"/>
          <w:lang w:eastAsia="en-US"/>
        </w:rPr>
        <w:t>,</w:t>
      </w:r>
      <w:r w:rsidR="003126CE" w:rsidRPr="002C13F3">
        <w:rPr>
          <w:rFonts w:ascii="Century" w:eastAsiaTheme="minorHAnsi" w:hAnsi="Century" w:cstheme="minorBidi"/>
          <w:sz w:val="24"/>
          <w:szCs w:val="24"/>
          <w:lang w:eastAsia="en-US"/>
        </w:rPr>
        <w:t xml:space="preserve"> relativa al cálculo d</w:t>
      </w:r>
      <w:r w:rsidR="004B017E">
        <w:rPr>
          <w:rFonts w:ascii="Century" w:eastAsiaTheme="minorHAnsi" w:hAnsi="Century" w:cstheme="minorBidi"/>
          <w:sz w:val="24"/>
          <w:szCs w:val="24"/>
          <w:lang w:eastAsia="en-US"/>
        </w:rPr>
        <w:t>el ISUC</w:t>
      </w:r>
      <w:r w:rsidR="003126CE" w:rsidRPr="002C13F3">
        <w:rPr>
          <w:rFonts w:ascii="Century" w:eastAsiaTheme="minorHAnsi" w:hAnsi="Century" w:cstheme="minorBidi"/>
          <w:sz w:val="24"/>
          <w:szCs w:val="24"/>
          <w:lang w:eastAsia="en-US"/>
        </w:rPr>
        <w:t xml:space="preserve"> sobre un bien inmueble situado en un Estado miembro</w:t>
      </w:r>
      <w:r>
        <w:rPr>
          <w:rFonts w:ascii="Century" w:eastAsiaTheme="minorHAnsi" w:hAnsi="Century" w:cstheme="minorBidi"/>
          <w:sz w:val="24"/>
          <w:szCs w:val="24"/>
          <w:lang w:eastAsia="en-US"/>
        </w:rPr>
        <w:t xml:space="preserve"> vulnera la normativa comunitaria. Y es que la referida normativa no prevé</w:t>
      </w:r>
      <w:r w:rsidR="003126CE" w:rsidRPr="002C13F3">
        <w:rPr>
          <w:rFonts w:ascii="Century" w:eastAsiaTheme="minorHAnsi" w:hAnsi="Century" w:cstheme="minorBidi"/>
          <w:sz w:val="24"/>
          <w:szCs w:val="24"/>
          <w:lang w:eastAsia="en-US"/>
        </w:rPr>
        <w:t xml:space="preserve"> la deducibilidad de las deudas que gravan dicho bien inmueble en el caso de que el causante </w:t>
      </w:r>
      <w:r w:rsidR="003126CE" w:rsidRPr="002C13F3">
        <w:rPr>
          <w:rFonts w:ascii="Century" w:eastAsiaTheme="minorHAnsi" w:hAnsi="Century" w:cstheme="minorBidi"/>
          <w:sz w:val="24"/>
          <w:szCs w:val="24"/>
          <w:lang w:eastAsia="en-US"/>
        </w:rPr>
        <w:lastRenderedPageBreak/>
        <w:t>residiera, en el momento del fallecimiento, en otro Estado miembro, mientras que la citada deducibilidad sí que es posible cuando el causante residiese, en el momento de su fallecimiento, en el Estado en el que se encontrara el bien inmueble objeto de la herencia</w:t>
      </w:r>
      <w:r w:rsidR="0010595B" w:rsidRPr="002C13F3">
        <w:rPr>
          <w:rFonts w:ascii="Century" w:eastAsiaTheme="minorHAnsi" w:hAnsi="Century" w:cstheme="minorBidi"/>
          <w:sz w:val="24"/>
          <w:szCs w:val="24"/>
          <w:lang w:eastAsia="en-US"/>
        </w:rPr>
        <w:t xml:space="preserve">. </w:t>
      </w:r>
      <w:r>
        <w:rPr>
          <w:rFonts w:ascii="Century" w:eastAsiaTheme="minorHAnsi" w:hAnsi="Century" w:cstheme="minorBidi"/>
          <w:sz w:val="24"/>
          <w:szCs w:val="24"/>
          <w:lang w:eastAsia="en-US"/>
        </w:rPr>
        <w:t xml:space="preserve">Y así considera que esta limitación </w:t>
      </w:r>
      <w:r w:rsidR="0010595B" w:rsidRPr="002C13F3">
        <w:rPr>
          <w:rFonts w:ascii="Century" w:eastAsiaTheme="minorHAnsi" w:hAnsi="Century" w:cstheme="minorBidi"/>
          <w:sz w:val="24"/>
          <w:szCs w:val="24"/>
          <w:lang w:eastAsia="en-US"/>
        </w:rPr>
        <w:t>podría dar lugar a una carga fiscal superior para aquellos herederos que no puedan aplicarse la deducibilidad de que se trata</w:t>
      </w:r>
      <w:r w:rsidR="0061613B" w:rsidRPr="002C13F3">
        <w:rPr>
          <w:rFonts w:ascii="Century" w:eastAsiaTheme="minorHAnsi" w:hAnsi="Century" w:cstheme="minorBidi"/>
          <w:sz w:val="24"/>
          <w:szCs w:val="24"/>
          <w:lang w:eastAsia="en-US"/>
        </w:rPr>
        <w:t>,</w:t>
      </w:r>
      <w:r>
        <w:rPr>
          <w:rFonts w:ascii="Century" w:eastAsiaTheme="minorHAnsi" w:hAnsi="Century" w:cstheme="minorBidi"/>
          <w:sz w:val="24"/>
          <w:szCs w:val="24"/>
          <w:lang w:eastAsia="en-US"/>
        </w:rPr>
        <w:t xml:space="preserve"> vulnerándose, en consecuencia,</w:t>
      </w:r>
      <w:r w:rsidR="0061613B" w:rsidRPr="002C13F3">
        <w:rPr>
          <w:rFonts w:ascii="Century" w:eastAsiaTheme="minorHAnsi" w:hAnsi="Century" w:cstheme="minorBidi"/>
          <w:sz w:val="24"/>
          <w:szCs w:val="24"/>
          <w:lang w:eastAsia="en-US"/>
        </w:rPr>
        <w:t xml:space="preserve"> la libre circulación de capitales</w:t>
      </w:r>
      <w:r w:rsidR="003126CE" w:rsidRPr="002C13F3">
        <w:rPr>
          <w:rStyle w:val="Refdenotaalpie"/>
          <w:rFonts w:ascii="Century" w:eastAsiaTheme="minorHAnsi" w:hAnsi="Century" w:cstheme="minorBidi"/>
          <w:sz w:val="24"/>
          <w:szCs w:val="24"/>
          <w:lang w:eastAsia="en-US"/>
        </w:rPr>
        <w:footnoteReference w:id="35"/>
      </w:r>
      <w:r w:rsidR="003126CE" w:rsidRPr="002C13F3">
        <w:rPr>
          <w:rFonts w:ascii="Century" w:eastAsiaTheme="minorHAnsi" w:hAnsi="Century" w:cstheme="minorBidi"/>
          <w:sz w:val="24"/>
          <w:szCs w:val="24"/>
          <w:lang w:eastAsia="en-US"/>
        </w:rPr>
        <w:t xml:space="preserve">. </w:t>
      </w:r>
    </w:p>
    <w:p w:rsidR="003126CE" w:rsidRPr="002C13F3" w:rsidRDefault="005302AD" w:rsidP="002D11BC">
      <w:pPr>
        <w:pStyle w:val="HTMLconformatoprevio"/>
        <w:tabs>
          <w:tab w:val="clear" w:pos="916"/>
          <w:tab w:val="left" w:pos="709"/>
        </w:tabs>
        <w:spacing w:after="240" w:line="360" w:lineRule="auto"/>
        <w:jc w:val="both"/>
        <w:rPr>
          <w:rFonts w:ascii="Century" w:eastAsiaTheme="minorHAnsi" w:hAnsi="Century" w:cstheme="minorBidi"/>
          <w:sz w:val="24"/>
          <w:szCs w:val="24"/>
          <w:lang w:eastAsia="en-US"/>
        </w:rPr>
      </w:pPr>
      <w:r>
        <w:rPr>
          <w:rFonts w:ascii="Century" w:eastAsiaTheme="minorHAnsi" w:hAnsi="Century" w:cstheme="minorBidi"/>
          <w:sz w:val="24"/>
          <w:szCs w:val="24"/>
          <w:lang w:eastAsia="en-US"/>
        </w:rPr>
        <w:tab/>
        <w:t>Otro ejemplo de esta situación de vulneración lo encontramos en la</w:t>
      </w:r>
      <w:r w:rsidR="003126CE" w:rsidRPr="002C13F3">
        <w:rPr>
          <w:rFonts w:ascii="Century" w:eastAsiaTheme="minorHAnsi" w:hAnsi="Century" w:cstheme="minorBidi"/>
          <w:sz w:val="24"/>
          <w:szCs w:val="24"/>
          <w:lang w:eastAsia="en-US"/>
        </w:rPr>
        <w:t xml:space="preserve"> ST</w:t>
      </w:r>
      <w:r w:rsidR="00CD5662">
        <w:rPr>
          <w:rFonts w:ascii="Century" w:eastAsiaTheme="minorHAnsi" w:hAnsi="Century" w:cstheme="minorBidi"/>
          <w:sz w:val="24"/>
          <w:szCs w:val="24"/>
          <w:lang w:eastAsia="en-US"/>
        </w:rPr>
        <w:t>J</w:t>
      </w:r>
      <w:r w:rsidR="003126CE" w:rsidRPr="002C13F3">
        <w:rPr>
          <w:rFonts w:ascii="Century" w:eastAsiaTheme="minorHAnsi" w:hAnsi="Century" w:cstheme="minorBidi"/>
          <w:sz w:val="24"/>
          <w:szCs w:val="24"/>
          <w:lang w:eastAsia="en-US"/>
        </w:rPr>
        <w:t>UE de 4 de septiembre de 2014, asunto C-211/13</w:t>
      </w:r>
      <w:r>
        <w:rPr>
          <w:rFonts w:ascii="Century" w:eastAsiaTheme="minorHAnsi" w:hAnsi="Century" w:cstheme="minorBidi"/>
          <w:sz w:val="24"/>
          <w:szCs w:val="24"/>
          <w:lang w:eastAsia="en-US"/>
        </w:rPr>
        <w:t>. En dicha sentencia se declara que</w:t>
      </w:r>
      <w:r w:rsidR="003126CE" w:rsidRPr="002C13F3">
        <w:rPr>
          <w:rFonts w:ascii="Century" w:eastAsiaTheme="minorHAnsi" w:hAnsi="Century" w:cstheme="minorBidi"/>
          <w:sz w:val="24"/>
          <w:szCs w:val="24"/>
          <w:lang w:eastAsia="en-US"/>
        </w:rPr>
        <w:t xml:space="preserve"> Alemania ha incumplido las obligaciones establecidas en el art. 63 del TFUE</w:t>
      </w:r>
      <w:r w:rsidR="004820F7" w:rsidRPr="002C13F3">
        <w:rPr>
          <w:rFonts w:ascii="Century" w:eastAsiaTheme="minorHAnsi" w:hAnsi="Century" w:cstheme="minorBidi"/>
          <w:sz w:val="24"/>
          <w:szCs w:val="24"/>
          <w:lang w:eastAsia="en-US"/>
        </w:rPr>
        <w:t xml:space="preserve"> que establece la prohibición de todas las restricciones a los movimientos de capitales entre EM</w:t>
      </w:r>
      <w:r>
        <w:rPr>
          <w:rFonts w:ascii="Century" w:eastAsiaTheme="minorHAnsi" w:hAnsi="Century" w:cstheme="minorBidi"/>
          <w:sz w:val="24"/>
          <w:szCs w:val="24"/>
          <w:lang w:eastAsia="en-US"/>
        </w:rPr>
        <w:t>,</w:t>
      </w:r>
      <w:r w:rsidR="004820F7" w:rsidRPr="002C13F3">
        <w:rPr>
          <w:rFonts w:ascii="Century" w:eastAsiaTheme="minorHAnsi" w:hAnsi="Century" w:cstheme="minorBidi"/>
          <w:sz w:val="24"/>
          <w:szCs w:val="24"/>
          <w:lang w:eastAsia="en-US"/>
        </w:rPr>
        <w:t xml:space="preserve"> y entre EM y terceros países,</w:t>
      </w:r>
      <w:r w:rsidR="003126CE" w:rsidRPr="002C13F3">
        <w:rPr>
          <w:rFonts w:ascii="Century" w:eastAsiaTheme="minorHAnsi" w:hAnsi="Century" w:cstheme="minorBidi"/>
          <w:sz w:val="24"/>
          <w:szCs w:val="24"/>
          <w:lang w:eastAsia="en-US"/>
        </w:rPr>
        <w:t xml:space="preserve"> al ado</w:t>
      </w:r>
      <w:r w:rsidR="00FA16D3">
        <w:rPr>
          <w:rFonts w:ascii="Century" w:eastAsiaTheme="minorHAnsi" w:hAnsi="Century" w:cstheme="minorBidi"/>
          <w:sz w:val="24"/>
          <w:szCs w:val="24"/>
          <w:lang w:eastAsia="en-US"/>
        </w:rPr>
        <w:t>ptar disposiciones legislativas</w:t>
      </w:r>
      <w:r w:rsidR="003126CE" w:rsidRPr="002C13F3">
        <w:rPr>
          <w:rFonts w:ascii="Century" w:eastAsiaTheme="minorHAnsi" w:hAnsi="Century" w:cstheme="minorBidi"/>
          <w:sz w:val="24"/>
          <w:szCs w:val="24"/>
          <w:lang w:eastAsia="en-US"/>
        </w:rPr>
        <w:t xml:space="preserve"> e</w:t>
      </w:r>
      <w:r>
        <w:rPr>
          <w:rFonts w:ascii="Century" w:eastAsiaTheme="minorHAnsi" w:hAnsi="Century" w:cstheme="minorBidi"/>
          <w:sz w:val="24"/>
          <w:szCs w:val="24"/>
          <w:lang w:eastAsia="en-US"/>
        </w:rPr>
        <w:t>n materia de sucesiones relativas a</w:t>
      </w:r>
      <w:r w:rsidR="003126CE" w:rsidRPr="002C13F3">
        <w:rPr>
          <w:rFonts w:ascii="Century" w:eastAsiaTheme="minorHAnsi" w:hAnsi="Century" w:cstheme="minorBidi"/>
          <w:sz w:val="24"/>
          <w:szCs w:val="24"/>
          <w:lang w:eastAsia="en-US"/>
        </w:rPr>
        <w:t xml:space="preserve"> bien</w:t>
      </w:r>
      <w:r>
        <w:rPr>
          <w:rFonts w:ascii="Century" w:eastAsiaTheme="minorHAnsi" w:hAnsi="Century" w:cstheme="minorBidi"/>
          <w:sz w:val="24"/>
          <w:szCs w:val="24"/>
          <w:lang w:eastAsia="en-US"/>
        </w:rPr>
        <w:t>es</w:t>
      </w:r>
      <w:r w:rsidR="003126CE" w:rsidRPr="002C13F3">
        <w:rPr>
          <w:rFonts w:ascii="Century" w:eastAsiaTheme="minorHAnsi" w:hAnsi="Century" w:cstheme="minorBidi"/>
          <w:sz w:val="24"/>
          <w:szCs w:val="24"/>
          <w:lang w:eastAsia="en-US"/>
        </w:rPr>
        <w:t xml:space="preserve"> inmueble</w:t>
      </w:r>
      <w:r>
        <w:rPr>
          <w:rFonts w:ascii="Century" w:eastAsiaTheme="minorHAnsi" w:hAnsi="Century" w:cstheme="minorBidi"/>
          <w:sz w:val="24"/>
          <w:szCs w:val="24"/>
          <w:lang w:eastAsia="en-US"/>
        </w:rPr>
        <w:t>s</w:t>
      </w:r>
      <w:r w:rsidR="003126CE" w:rsidRPr="002C13F3">
        <w:rPr>
          <w:rFonts w:ascii="Century" w:eastAsiaTheme="minorHAnsi" w:hAnsi="Century" w:cstheme="minorBidi"/>
          <w:sz w:val="24"/>
          <w:szCs w:val="24"/>
          <w:lang w:eastAsia="en-US"/>
        </w:rPr>
        <w:t xml:space="preserve"> situado</w:t>
      </w:r>
      <w:r>
        <w:rPr>
          <w:rFonts w:ascii="Century" w:eastAsiaTheme="minorHAnsi" w:hAnsi="Century" w:cstheme="minorBidi"/>
          <w:sz w:val="24"/>
          <w:szCs w:val="24"/>
          <w:lang w:eastAsia="en-US"/>
        </w:rPr>
        <w:t>s</w:t>
      </w:r>
      <w:r w:rsidR="003126CE" w:rsidRPr="002C13F3">
        <w:rPr>
          <w:rFonts w:ascii="Century" w:eastAsiaTheme="minorHAnsi" w:hAnsi="Century" w:cstheme="minorBidi"/>
          <w:sz w:val="24"/>
          <w:szCs w:val="24"/>
          <w:lang w:eastAsia="en-US"/>
        </w:rPr>
        <w:t xml:space="preserve"> en este Estado, </w:t>
      </w:r>
      <w:r>
        <w:rPr>
          <w:rFonts w:ascii="Century" w:eastAsiaTheme="minorHAnsi" w:hAnsi="Century" w:cstheme="minorBidi"/>
          <w:sz w:val="24"/>
          <w:szCs w:val="24"/>
          <w:lang w:eastAsia="en-US"/>
        </w:rPr>
        <w:t xml:space="preserve">al </w:t>
      </w:r>
      <w:r w:rsidR="003126CE" w:rsidRPr="002C13F3">
        <w:rPr>
          <w:rFonts w:ascii="Century" w:eastAsiaTheme="minorHAnsi" w:hAnsi="Century" w:cstheme="minorBidi"/>
          <w:sz w:val="24"/>
          <w:szCs w:val="24"/>
          <w:lang w:eastAsia="en-US"/>
        </w:rPr>
        <w:t>concede</w:t>
      </w:r>
      <w:r>
        <w:rPr>
          <w:rFonts w:ascii="Century" w:eastAsiaTheme="minorHAnsi" w:hAnsi="Century" w:cstheme="minorBidi"/>
          <w:sz w:val="24"/>
          <w:szCs w:val="24"/>
          <w:lang w:eastAsia="en-US"/>
        </w:rPr>
        <w:t>r</w:t>
      </w:r>
      <w:r w:rsidR="003126CE" w:rsidRPr="002C13F3">
        <w:rPr>
          <w:rFonts w:ascii="Century" w:eastAsiaTheme="minorHAnsi" w:hAnsi="Century" w:cstheme="minorBidi"/>
          <w:sz w:val="24"/>
          <w:szCs w:val="24"/>
          <w:lang w:eastAsia="en-US"/>
        </w:rPr>
        <w:t xml:space="preserve"> una deducción menor</w:t>
      </w:r>
      <w:r>
        <w:rPr>
          <w:rFonts w:ascii="Century" w:eastAsiaTheme="minorHAnsi" w:hAnsi="Century" w:cstheme="minorBidi"/>
          <w:sz w:val="24"/>
          <w:szCs w:val="24"/>
          <w:lang w:eastAsia="en-US"/>
        </w:rPr>
        <w:t xml:space="preserve"> en el impuesto si el causante</w:t>
      </w:r>
      <w:r w:rsidR="003126CE" w:rsidRPr="002C13F3">
        <w:rPr>
          <w:rFonts w:ascii="Century" w:eastAsiaTheme="minorHAnsi" w:hAnsi="Century" w:cstheme="minorBidi"/>
          <w:sz w:val="24"/>
          <w:szCs w:val="24"/>
          <w:lang w:eastAsia="en-US"/>
        </w:rPr>
        <w:t xml:space="preserve"> en el momento de su f</w:t>
      </w:r>
      <w:r>
        <w:rPr>
          <w:rFonts w:ascii="Century" w:eastAsiaTheme="minorHAnsi" w:hAnsi="Century" w:cstheme="minorBidi"/>
          <w:sz w:val="24"/>
          <w:szCs w:val="24"/>
          <w:lang w:eastAsia="en-US"/>
        </w:rPr>
        <w:t>allecimiento, y el beneficiario</w:t>
      </w:r>
      <w:r w:rsidR="003126CE" w:rsidRPr="002C13F3">
        <w:rPr>
          <w:rFonts w:ascii="Century" w:eastAsiaTheme="minorHAnsi" w:hAnsi="Century" w:cstheme="minorBidi"/>
          <w:sz w:val="24"/>
          <w:szCs w:val="24"/>
          <w:lang w:eastAsia="en-US"/>
        </w:rPr>
        <w:t xml:space="preserve"> en el momento de producirse el hecho imponible, residían en otro Estado miembro, mientras que </w:t>
      </w:r>
      <w:r>
        <w:rPr>
          <w:rFonts w:ascii="Century" w:eastAsiaTheme="minorHAnsi" w:hAnsi="Century" w:cstheme="minorBidi"/>
          <w:sz w:val="24"/>
          <w:szCs w:val="24"/>
          <w:lang w:eastAsia="en-US"/>
        </w:rPr>
        <w:t>l</w:t>
      </w:r>
      <w:r w:rsidR="003126CE" w:rsidRPr="002C13F3">
        <w:rPr>
          <w:rFonts w:ascii="Century" w:eastAsiaTheme="minorHAnsi" w:hAnsi="Century" w:cstheme="minorBidi"/>
          <w:sz w:val="24"/>
          <w:szCs w:val="24"/>
          <w:lang w:eastAsia="en-US"/>
        </w:rPr>
        <w:t>a deducción</w:t>
      </w:r>
      <w:r>
        <w:rPr>
          <w:rFonts w:ascii="Century" w:eastAsiaTheme="minorHAnsi" w:hAnsi="Century" w:cstheme="minorBidi"/>
          <w:sz w:val="24"/>
          <w:szCs w:val="24"/>
          <w:lang w:eastAsia="en-US"/>
        </w:rPr>
        <w:t xml:space="preserve"> es</w:t>
      </w:r>
      <w:r w:rsidR="003126CE" w:rsidRPr="002C13F3">
        <w:rPr>
          <w:rFonts w:ascii="Century" w:eastAsiaTheme="minorHAnsi" w:hAnsi="Century" w:cstheme="minorBidi"/>
          <w:sz w:val="24"/>
          <w:szCs w:val="24"/>
          <w:lang w:eastAsia="en-US"/>
        </w:rPr>
        <w:t xml:space="preserve"> mayor si al menos una de las dos partes residía en Alemania en este momento</w:t>
      </w:r>
      <w:r w:rsidR="00E67366" w:rsidRPr="002C13F3">
        <w:rPr>
          <w:rFonts w:ascii="Century" w:eastAsiaTheme="minorHAnsi" w:hAnsi="Century" w:cstheme="minorBidi"/>
          <w:sz w:val="24"/>
          <w:szCs w:val="24"/>
          <w:lang w:eastAsia="en-US"/>
        </w:rPr>
        <w:t>. El Tribunal declaró contrario a la libre circulación de capitales dichas disposiciones legislativas</w:t>
      </w:r>
      <w:r w:rsidR="003126CE" w:rsidRPr="002C13F3">
        <w:rPr>
          <w:rStyle w:val="Refdenotaalpie"/>
          <w:rFonts w:ascii="Century" w:eastAsiaTheme="minorHAnsi" w:hAnsi="Century" w:cstheme="minorBidi"/>
          <w:sz w:val="24"/>
          <w:szCs w:val="24"/>
          <w:lang w:eastAsia="en-US"/>
        </w:rPr>
        <w:footnoteReference w:id="36"/>
      </w:r>
      <w:r w:rsidR="003126CE" w:rsidRPr="002C13F3">
        <w:rPr>
          <w:rFonts w:ascii="Century" w:eastAsiaTheme="minorHAnsi" w:hAnsi="Century" w:cstheme="minorBidi"/>
          <w:sz w:val="24"/>
          <w:szCs w:val="24"/>
          <w:lang w:eastAsia="en-US"/>
        </w:rPr>
        <w:t xml:space="preserve">. </w:t>
      </w:r>
    </w:p>
    <w:p w:rsidR="003126CE" w:rsidRDefault="003126CE" w:rsidP="002D11BC">
      <w:pPr>
        <w:pStyle w:val="HTMLconformatoprevio"/>
        <w:tabs>
          <w:tab w:val="clear" w:pos="916"/>
          <w:tab w:val="left" w:pos="709"/>
        </w:tabs>
        <w:spacing w:after="240" w:line="360" w:lineRule="auto"/>
        <w:jc w:val="both"/>
        <w:rPr>
          <w:rFonts w:ascii="Century" w:eastAsiaTheme="minorHAnsi" w:hAnsi="Century" w:cstheme="minorBidi"/>
          <w:sz w:val="24"/>
          <w:szCs w:val="24"/>
          <w:lang w:eastAsia="en-US"/>
        </w:rPr>
      </w:pPr>
      <w:r w:rsidRPr="002C13F3">
        <w:rPr>
          <w:rFonts w:ascii="Century" w:eastAsiaTheme="minorHAnsi" w:hAnsi="Century" w:cstheme="minorBidi"/>
          <w:sz w:val="24"/>
          <w:szCs w:val="24"/>
          <w:lang w:eastAsia="en-US"/>
        </w:rPr>
        <w:tab/>
      </w:r>
      <w:r w:rsidR="005302AD">
        <w:rPr>
          <w:rFonts w:ascii="Century" w:eastAsiaTheme="minorHAnsi" w:hAnsi="Century" w:cstheme="minorBidi"/>
          <w:sz w:val="24"/>
          <w:szCs w:val="24"/>
          <w:lang w:eastAsia="en-US"/>
        </w:rPr>
        <w:t>Por su parte, la</w:t>
      </w:r>
      <w:r w:rsidRPr="002C13F3">
        <w:rPr>
          <w:rFonts w:ascii="Century" w:eastAsiaTheme="minorHAnsi" w:hAnsi="Century" w:cstheme="minorBidi"/>
          <w:sz w:val="24"/>
          <w:szCs w:val="24"/>
          <w:lang w:eastAsia="en-US"/>
        </w:rPr>
        <w:t xml:space="preserve"> STJUE de 26 de mayo de 2016, asunto C-244/15 considera que una exención del impuesto sobre </w:t>
      </w:r>
      <w:r w:rsidR="005302AD">
        <w:rPr>
          <w:rFonts w:ascii="Century" w:eastAsiaTheme="minorHAnsi" w:hAnsi="Century" w:cstheme="minorBidi"/>
          <w:sz w:val="24"/>
          <w:szCs w:val="24"/>
          <w:lang w:eastAsia="en-US"/>
        </w:rPr>
        <w:t>sucesione</w:t>
      </w:r>
      <w:r w:rsidRPr="002C13F3">
        <w:rPr>
          <w:rFonts w:ascii="Century" w:eastAsiaTheme="minorHAnsi" w:hAnsi="Century" w:cstheme="minorBidi"/>
          <w:sz w:val="24"/>
          <w:szCs w:val="24"/>
          <w:lang w:eastAsia="en-US"/>
        </w:rPr>
        <w:t>s que se aplica únicamente a los nacionales de los EM de la UE que residen en Grecia incumple las obligaciones</w:t>
      </w:r>
      <w:r w:rsidR="00877B80">
        <w:rPr>
          <w:rFonts w:ascii="Century" w:eastAsiaTheme="minorHAnsi" w:hAnsi="Century" w:cstheme="minorBidi"/>
          <w:sz w:val="24"/>
          <w:szCs w:val="24"/>
          <w:lang w:eastAsia="en-US"/>
        </w:rPr>
        <w:t xml:space="preserve"> derivadas </w:t>
      </w:r>
      <w:r w:rsidRPr="002C13F3">
        <w:rPr>
          <w:rFonts w:ascii="Century" w:eastAsiaTheme="minorHAnsi" w:hAnsi="Century" w:cstheme="minorBidi"/>
          <w:sz w:val="24"/>
          <w:szCs w:val="24"/>
          <w:lang w:eastAsia="en-US"/>
        </w:rPr>
        <w:t xml:space="preserve">del </w:t>
      </w:r>
      <w:r w:rsidR="00E67366" w:rsidRPr="002C13F3">
        <w:rPr>
          <w:rFonts w:ascii="Century" w:eastAsiaTheme="minorHAnsi" w:hAnsi="Century" w:cstheme="minorBidi"/>
          <w:sz w:val="24"/>
          <w:szCs w:val="24"/>
          <w:lang w:eastAsia="en-US"/>
        </w:rPr>
        <w:t xml:space="preserve">art. 63 del TFUE y 40 del </w:t>
      </w:r>
      <w:r w:rsidRPr="002C13F3">
        <w:rPr>
          <w:rFonts w:ascii="Century" w:eastAsiaTheme="minorHAnsi" w:hAnsi="Century" w:cstheme="minorBidi"/>
          <w:sz w:val="24"/>
          <w:szCs w:val="24"/>
          <w:lang w:eastAsia="en-US"/>
        </w:rPr>
        <w:t>A</w:t>
      </w:r>
      <w:r w:rsidR="00E67366" w:rsidRPr="002C13F3">
        <w:rPr>
          <w:rFonts w:ascii="Century" w:eastAsiaTheme="minorHAnsi" w:hAnsi="Century" w:cstheme="minorBidi"/>
          <w:sz w:val="24"/>
          <w:szCs w:val="24"/>
          <w:lang w:eastAsia="en-US"/>
        </w:rPr>
        <w:t xml:space="preserve">cuerdo sobre el Espacio </w:t>
      </w:r>
      <w:r w:rsidRPr="002C13F3">
        <w:rPr>
          <w:rFonts w:ascii="Century" w:eastAsiaTheme="minorHAnsi" w:hAnsi="Century" w:cstheme="minorBidi"/>
          <w:sz w:val="24"/>
          <w:szCs w:val="24"/>
          <w:lang w:eastAsia="en-US"/>
        </w:rPr>
        <w:t>E</w:t>
      </w:r>
      <w:r w:rsidR="00E67366" w:rsidRPr="002C13F3">
        <w:rPr>
          <w:rFonts w:ascii="Century" w:eastAsiaTheme="minorHAnsi" w:hAnsi="Century" w:cstheme="minorBidi"/>
          <w:sz w:val="24"/>
          <w:szCs w:val="24"/>
          <w:lang w:eastAsia="en-US"/>
        </w:rPr>
        <w:t xml:space="preserve">conómico </w:t>
      </w:r>
      <w:r w:rsidRPr="002C13F3">
        <w:rPr>
          <w:rFonts w:ascii="Century" w:eastAsiaTheme="minorHAnsi" w:hAnsi="Century" w:cstheme="minorBidi"/>
          <w:sz w:val="24"/>
          <w:szCs w:val="24"/>
          <w:lang w:eastAsia="en-US"/>
        </w:rPr>
        <w:t>E</w:t>
      </w:r>
      <w:r w:rsidR="00E67366" w:rsidRPr="002C13F3">
        <w:rPr>
          <w:rFonts w:ascii="Century" w:eastAsiaTheme="minorHAnsi" w:hAnsi="Century" w:cstheme="minorBidi"/>
          <w:sz w:val="24"/>
          <w:szCs w:val="24"/>
          <w:lang w:eastAsia="en-US"/>
        </w:rPr>
        <w:t>uropeo (A</w:t>
      </w:r>
      <w:r w:rsidR="00877B80">
        <w:rPr>
          <w:rFonts w:ascii="Century" w:eastAsiaTheme="minorHAnsi" w:hAnsi="Century" w:cstheme="minorBidi"/>
          <w:sz w:val="24"/>
          <w:szCs w:val="24"/>
          <w:lang w:eastAsia="en-US"/>
        </w:rPr>
        <w:t xml:space="preserve">cuerdo </w:t>
      </w:r>
      <w:r w:rsidR="00E67366" w:rsidRPr="002C13F3">
        <w:rPr>
          <w:rFonts w:ascii="Century" w:eastAsiaTheme="minorHAnsi" w:hAnsi="Century" w:cstheme="minorBidi"/>
          <w:sz w:val="24"/>
          <w:szCs w:val="24"/>
          <w:lang w:eastAsia="en-US"/>
        </w:rPr>
        <w:t>EEE</w:t>
      </w:r>
      <w:r w:rsidRPr="002C13F3">
        <w:rPr>
          <w:rFonts w:ascii="Century" w:eastAsiaTheme="minorHAnsi" w:hAnsi="Century" w:cstheme="minorBidi"/>
          <w:sz w:val="24"/>
          <w:szCs w:val="24"/>
          <w:lang w:eastAsia="en-US"/>
        </w:rPr>
        <w:t>)</w:t>
      </w:r>
      <w:r w:rsidR="00E67366" w:rsidRPr="002C13F3">
        <w:rPr>
          <w:rFonts w:ascii="Century" w:eastAsiaTheme="minorHAnsi" w:hAnsi="Century" w:cstheme="minorBidi"/>
          <w:sz w:val="24"/>
          <w:szCs w:val="24"/>
          <w:lang w:eastAsia="en-US"/>
        </w:rPr>
        <w:t>, sobre prohibición de todas las restricciones a los movimientos de capitales</w:t>
      </w:r>
      <w:r w:rsidRPr="002C13F3">
        <w:rPr>
          <w:rFonts w:ascii="Century" w:eastAsiaTheme="minorHAnsi" w:hAnsi="Century" w:cstheme="minorBidi"/>
          <w:sz w:val="24"/>
          <w:szCs w:val="24"/>
          <w:lang w:eastAsia="en-US"/>
        </w:rPr>
        <w:t>. Es decir,</w:t>
      </w:r>
      <w:r w:rsidR="00877B80">
        <w:rPr>
          <w:rFonts w:ascii="Century" w:eastAsiaTheme="minorHAnsi" w:hAnsi="Century" w:cstheme="minorBidi"/>
          <w:sz w:val="24"/>
          <w:szCs w:val="24"/>
          <w:lang w:eastAsia="en-US"/>
        </w:rPr>
        <w:t xml:space="preserve"> se afirma </w:t>
      </w:r>
      <w:r w:rsidR="00877B80">
        <w:rPr>
          <w:rFonts w:ascii="Century" w:eastAsiaTheme="minorHAnsi" w:hAnsi="Century" w:cstheme="minorBidi"/>
          <w:sz w:val="24"/>
          <w:szCs w:val="24"/>
          <w:lang w:eastAsia="en-US"/>
        </w:rPr>
        <w:lastRenderedPageBreak/>
        <w:t>claramente que</w:t>
      </w:r>
      <w:r w:rsidRPr="002C13F3">
        <w:rPr>
          <w:rFonts w:ascii="Century" w:eastAsiaTheme="minorHAnsi" w:hAnsi="Century" w:cstheme="minorBidi"/>
          <w:sz w:val="24"/>
          <w:szCs w:val="24"/>
          <w:lang w:eastAsia="en-US"/>
        </w:rPr>
        <w:t xml:space="preserve"> una tributación diferenciada en función de dónde resida permanentemente el heredero es contraria a la libertad de circulación de capitales.</w:t>
      </w:r>
      <w:r w:rsidR="00877B80">
        <w:rPr>
          <w:rFonts w:ascii="Century" w:eastAsiaTheme="minorHAnsi" w:hAnsi="Century" w:cstheme="minorBidi"/>
          <w:sz w:val="24"/>
          <w:szCs w:val="24"/>
          <w:lang w:eastAsia="en-US"/>
        </w:rPr>
        <w:t xml:space="preserve"> </w:t>
      </w:r>
      <w:r w:rsidR="001E58E9">
        <w:rPr>
          <w:rFonts w:ascii="Century" w:eastAsiaTheme="minorHAnsi" w:hAnsi="Century" w:cstheme="minorBidi"/>
          <w:sz w:val="24"/>
          <w:szCs w:val="24"/>
          <w:lang w:eastAsia="en-US"/>
        </w:rPr>
        <w:t>A</w:t>
      </w:r>
      <w:r w:rsidRPr="002C13F3">
        <w:rPr>
          <w:rFonts w:ascii="Century" w:eastAsiaTheme="minorHAnsi" w:hAnsi="Century" w:cstheme="minorBidi"/>
          <w:sz w:val="24"/>
          <w:szCs w:val="24"/>
          <w:lang w:eastAsia="en-US"/>
        </w:rPr>
        <w:t xml:space="preserve"> estos efectos, la normativa griega</w:t>
      </w:r>
      <w:r w:rsidR="00877B80">
        <w:rPr>
          <w:rFonts w:ascii="Century" w:eastAsiaTheme="minorHAnsi" w:hAnsi="Century" w:cstheme="minorBidi"/>
          <w:sz w:val="24"/>
          <w:szCs w:val="24"/>
          <w:lang w:eastAsia="en-US"/>
        </w:rPr>
        <w:t xml:space="preserve"> se considera</w:t>
      </w:r>
      <w:r w:rsidRPr="002C13F3">
        <w:rPr>
          <w:rFonts w:ascii="Century" w:eastAsiaTheme="minorHAnsi" w:hAnsi="Century" w:cstheme="minorBidi"/>
          <w:sz w:val="24"/>
          <w:szCs w:val="24"/>
          <w:lang w:eastAsia="en-US"/>
        </w:rPr>
        <w:t xml:space="preserve"> contraria a este derecho</w:t>
      </w:r>
      <w:r w:rsidR="00877B80">
        <w:rPr>
          <w:rFonts w:ascii="Century" w:eastAsiaTheme="minorHAnsi" w:hAnsi="Century" w:cstheme="minorBidi"/>
          <w:sz w:val="24"/>
          <w:szCs w:val="24"/>
          <w:lang w:eastAsia="en-US"/>
        </w:rPr>
        <w:t xml:space="preserve"> al tener</w:t>
      </w:r>
      <w:r w:rsidRPr="002C13F3">
        <w:rPr>
          <w:rFonts w:ascii="Century" w:eastAsiaTheme="minorHAnsi" w:hAnsi="Century" w:cstheme="minorBidi"/>
          <w:sz w:val="24"/>
          <w:szCs w:val="24"/>
          <w:lang w:eastAsia="en-US"/>
        </w:rPr>
        <w:t xml:space="preserve"> como efecto reducir el valor de la sucesión para el heredero que no resida de forma permanente en Grecia, sin que pueda ben</w:t>
      </w:r>
      <w:r w:rsidR="00877B80">
        <w:rPr>
          <w:rFonts w:ascii="Century" w:eastAsiaTheme="minorHAnsi" w:hAnsi="Century" w:cstheme="minorBidi"/>
          <w:sz w:val="24"/>
          <w:szCs w:val="24"/>
          <w:lang w:eastAsia="en-US"/>
        </w:rPr>
        <w:t>eficiarse de la citada exención, soportando</w:t>
      </w:r>
      <w:r w:rsidRPr="002C13F3">
        <w:rPr>
          <w:rFonts w:ascii="Century" w:eastAsiaTheme="minorHAnsi" w:hAnsi="Century" w:cstheme="minorBidi"/>
          <w:sz w:val="24"/>
          <w:szCs w:val="24"/>
          <w:lang w:eastAsia="en-US"/>
        </w:rPr>
        <w:t xml:space="preserve"> una carga fiscal más elevada que la de un heredero que resida permanentemente en dicho Estado.</w:t>
      </w:r>
      <w:r w:rsidR="00877B80">
        <w:rPr>
          <w:rFonts w:ascii="Century" w:eastAsiaTheme="minorHAnsi" w:hAnsi="Century" w:cstheme="minorBidi"/>
          <w:sz w:val="24"/>
          <w:szCs w:val="24"/>
          <w:lang w:eastAsia="en-US"/>
        </w:rPr>
        <w:t xml:space="preserve"> Y a</w:t>
      </w:r>
      <w:r w:rsidRPr="002C13F3">
        <w:rPr>
          <w:rFonts w:ascii="Century" w:eastAsiaTheme="minorHAnsi" w:hAnsi="Century" w:cstheme="minorBidi"/>
          <w:sz w:val="24"/>
          <w:szCs w:val="24"/>
          <w:lang w:eastAsia="en-US"/>
        </w:rPr>
        <w:t xml:space="preserve">demás, </w:t>
      </w:r>
      <w:r w:rsidR="00877B80">
        <w:rPr>
          <w:rFonts w:ascii="Century" w:eastAsiaTheme="minorHAnsi" w:hAnsi="Century" w:cstheme="minorBidi"/>
          <w:sz w:val="24"/>
          <w:szCs w:val="24"/>
          <w:lang w:eastAsia="en-US"/>
        </w:rPr>
        <w:t xml:space="preserve"> sin que se considere en este caso que existen </w:t>
      </w:r>
      <w:r w:rsidRPr="002C13F3">
        <w:rPr>
          <w:rFonts w:ascii="Century" w:eastAsiaTheme="minorHAnsi" w:hAnsi="Century" w:cstheme="minorBidi"/>
          <w:sz w:val="24"/>
          <w:szCs w:val="24"/>
          <w:lang w:eastAsia="en-US"/>
        </w:rPr>
        <w:t>razones que justifiquen</w:t>
      </w:r>
      <w:r w:rsidR="00877B80">
        <w:rPr>
          <w:rFonts w:ascii="Century" w:eastAsiaTheme="minorHAnsi" w:hAnsi="Century" w:cstheme="minorBidi"/>
          <w:sz w:val="24"/>
          <w:szCs w:val="24"/>
          <w:lang w:eastAsia="en-US"/>
        </w:rPr>
        <w:t xml:space="preserve"> el </w:t>
      </w:r>
      <w:r w:rsidRPr="002C13F3">
        <w:rPr>
          <w:rFonts w:ascii="Century" w:eastAsiaTheme="minorHAnsi" w:hAnsi="Century" w:cstheme="minorBidi"/>
          <w:sz w:val="24"/>
          <w:szCs w:val="24"/>
          <w:lang w:eastAsia="en-US"/>
        </w:rPr>
        <w:t>tratamiento diferenciado</w:t>
      </w:r>
      <w:r w:rsidR="00877B80">
        <w:rPr>
          <w:rFonts w:ascii="Century" w:eastAsiaTheme="minorHAnsi" w:hAnsi="Century" w:cstheme="minorBidi"/>
          <w:sz w:val="24"/>
          <w:szCs w:val="24"/>
          <w:lang w:eastAsia="en-US"/>
        </w:rPr>
        <w:t xml:space="preserve"> o</w:t>
      </w:r>
      <w:r w:rsidRPr="002C13F3">
        <w:rPr>
          <w:rFonts w:ascii="Century" w:eastAsiaTheme="minorHAnsi" w:hAnsi="Century" w:cstheme="minorBidi"/>
          <w:sz w:val="24"/>
          <w:szCs w:val="24"/>
          <w:lang w:eastAsia="en-US"/>
        </w:rPr>
        <w:t xml:space="preserve"> razón imperativa de interés general. </w:t>
      </w:r>
    </w:p>
    <w:p w:rsidR="003126CE" w:rsidRPr="002C13F3" w:rsidRDefault="00877B80" w:rsidP="002D11BC">
      <w:pPr>
        <w:pStyle w:val="HTMLconformatoprevio"/>
        <w:tabs>
          <w:tab w:val="clear" w:pos="916"/>
          <w:tab w:val="left" w:pos="709"/>
        </w:tabs>
        <w:spacing w:after="240" w:line="360" w:lineRule="auto"/>
        <w:jc w:val="both"/>
        <w:rPr>
          <w:rFonts w:ascii="Century" w:eastAsiaTheme="minorHAnsi" w:hAnsi="Century" w:cstheme="minorBidi"/>
          <w:sz w:val="24"/>
          <w:szCs w:val="24"/>
          <w:lang w:eastAsia="en-US"/>
        </w:rPr>
      </w:pPr>
      <w:r>
        <w:rPr>
          <w:rFonts w:ascii="Century" w:eastAsiaTheme="minorHAnsi" w:hAnsi="Century" w:cstheme="minorBidi"/>
          <w:sz w:val="24"/>
          <w:szCs w:val="24"/>
          <w:lang w:eastAsia="en-US"/>
        </w:rPr>
        <w:tab/>
        <w:t xml:space="preserve">El propósito de estas sentencias es exigir la comparabilidad de situaciones entre </w:t>
      </w:r>
      <w:r w:rsidR="003126CE" w:rsidRPr="002C13F3">
        <w:rPr>
          <w:rFonts w:ascii="Century" w:eastAsiaTheme="minorHAnsi" w:hAnsi="Century" w:cstheme="minorBidi"/>
          <w:sz w:val="24"/>
          <w:szCs w:val="24"/>
          <w:lang w:eastAsia="en-US"/>
        </w:rPr>
        <w:t>un no residente</w:t>
      </w:r>
      <w:r>
        <w:rPr>
          <w:rFonts w:ascii="Century" w:eastAsiaTheme="minorHAnsi" w:hAnsi="Century" w:cstheme="minorBidi"/>
          <w:sz w:val="24"/>
          <w:szCs w:val="24"/>
          <w:lang w:eastAsia="en-US"/>
        </w:rPr>
        <w:t xml:space="preserve"> y</w:t>
      </w:r>
      <w:r w:rsidR="003126CE" w:rsidRPr="002C13F3">
        <w:rPr>
          <w:rFonts w:ascii="Century" w:eastAsiaTheme="minorHAnsi" w:hAnsi="Century" w:cstheme="minorBidi"/>
          <w:sz w:val="24"/>
          <w:szCs w:val="24"/>
          <w:lang w:eastAsia="en-US"/>
        </w:rPr>
        <w:t xml:space="preserve"> un residente, encontrando por tanto injustificado el distinto trato fiscal dado en materia de sucesiones a los no residentes y obligando</w:t>
      </w:r>
      <w:r>
        <w:rPr>
          <w:rFonts w:ascii="Century" w:eastAsiaTheme="minorHAnsi" w:hAnsi="Century" w:cstheme="minorBidi"/>
          <w:sz w:val="24"/>
          <w:szCs w:val="24"/>
          <w:lang w:eastAsia="en-US"/>
        </w:rPr>
        <w:t xml:space="preserve"> en consecuencia</w:t>
      </w:r>
      <w:r w:rsidR="003126CE" w:rsidRPr="002C13F3">
        <w:rPr>
          <w:rFonts w:ascii="Century" w:eastAsiaTheme="minorHAnsi" w:hAnsi="Century" w:cstheme="minorBidi"/>
          <w:sz w:val="24"/>
          <w:szCs w:val="24"/>
          <w:lang w:eastAsia="en-US"/>
        </w:rPr>
        <w:t xml:space="preserve"> a los EM a extender la ventaja fiscal objetiva a estos últimos. </w:t>
      </w:r>
      <w:r>
        <w:rPr>
          <w:rFonts w:ascii="Century" w:eastAsiaTheme="minorHAnsi" w:hAnsi="Century" w:cstheme="minorBidi"/>
          <w:sz w:val="24"/>
          <w:szCs w:val="24"/>
          <w:lang w:eastAsia="en-US"/>
        </w:rPr>
        <w:t>De acuerdo con ello, las</w:t>
      </w:r>
      <w:r w:rsidR="003126CE" w:rsidRPr="002C13F3">
        <w:rPr>
          <w:rFonts w:ascii="Century" w:eastAsiaTheme="minorHAnsi" w:hAnsi="Century" w:cstheme="minorBidi"/>
          <w:sz w:val="24"/>
          <w:szCs w:val="24"/>
          <w:lang w:eastAsia="en-US"/>
        </w:rPr>
        <w:t xml:space="preserve"> normativas fiscales en materia de sucesiones que vulneren la libre circulación de capitales y la no discriminación deben ser modificadas. </w:t>
      </w:r>
    </w:p>
    <w:p w:rsidR="00C84BA7" w:rsidRPr="00537025" w:rsidRDefault="003126CE" w:rsidP="00537025">
      <w:pPr>
        <w:pStyle w:val="HTMLconformatoprevio"/>
        <w:tabs>
          <w:tab w:val="clear" w:pos="916"/>
          <w:tab w:val="left" w:pos="709"/>
        </w:tabs>
        <w:spacing w:after="240" w:line="360" w:lineRule="auto"/>
        <w:jc w:val="both"/>
        <w:rPr>
          <w:rFonts w:ascii="Century" w:eastAsiaTheme="minorHAnsi" w:hAnsi="Century" w:cstheme="minorBidi"/>
          <w:sz w:val="24"/>
          <w:szCs w:val="24"/>
          <w:lang w:eastAsia="en-US"/>
        </w:rPr>
      </w:pPr>
      <w:r w:rsidRPr="002C13F3">
        <w:rPr>
          <w:rFonts w:ascii="Century" w:eastAsiaTheme="minorHAnsi" w:hAnsi="Century" w:cstheme="minorBidi"/>
          <w:sz w:val="24"/>
          <w:szCs w:val="24"/>
          <w:lang w:eastAsia="en-US"/>
        </w:rPr>
        <w:tab/>
        <w:t xml:space="preserve">En conclusión, </w:t>
      </w:r>
      <w:r w:rsidR="00877B80">
        <w:rPr>
          <w:rFonts w:ascii="Century" w:eastAsiaTheme="minorHAnsi" w:hAnsi="Century" w:cstheme="minorBidi"/>
          <w:sz w:val="24"/>
          <w:szCs w:val="24"/>
          <w:lang w:eastAsia="en-US"/>
        </w:rPr>
        <w:t xml:space="preserve">al no existir en </w:t>
      </w:r>
      <w:r w:rsidRPr="002C13F3">
        <w:rPr>
          <w:rFonts w:ascii="Century" w:eastAsiaTheme="minorHAnsi" w:hAnsi="Century" w:cstheme="minorBidi"/>
          <w:sz w:val="24"/>
          <w:szCs w:val="24"/>
          <w:lang w:eastAsia="en-US"/>
        </w:rPr>
        <w:t>la UE una legislación común sobre la tributación de las</w:t>
      </w:r>
      <w:r w:rsidR="00877B80">
        <w:rPr>
          <w:rFonts w:ascii="Century" w:eastAsiaTheme="minorHAnsi" w:hAnsi="Century" w:cstheme="minorBidi"/>
          <w:sz w:val="24"/>
          <w:szCs w:val="24"/>
          <w:lang w:eastAsia="en-US"/>
        </w:rPr>
        <w:t xml:space="preserve"> sucesiones</w:t>
      </w:r>
      <w:r w:rsidRPr="002C13F3">
        <w:rPr>
          <w:rFonts w:ascii="Century" w:eastAsiaTheme="minorHAnsi" w:hAnsi="Century" w:cstheme="minorBidi"/>
          <w:sz w:val="24"/>
          <w:szCs w:val="24"/>
          <w:lang w:eastAsia="en-US"/>
        </w:rPr>
        <w:t xml:space="preserve">, </w:t>
      </w:r>
      <w:r w:rsidR="00877B80">
        <w:rPr>
          <w:rFonts w:ascii="Century" w:eastAsiaTheme="minorHAnsi" w:hAnsi="Century" w:cstheme="minorBidi"/>
          <w:sz w:val="24"/>
          <w:szCs w:val="24"/>
          <w:lang w:eastAsia="en-US"/>
        </w:rPr>
        <w:t>dada la ausencia de competencia fiscal directa regulatoria sobre la materia,</w:t>
      </w:r>
      <w:r w:rsidRPr="002C13F3">
        <w:rPr>
          <w:rFonts w:ascii="Century" w:eastAsiaTheme="minorHAnsi" w:hAnsi="Century" w:cstheme="minorBidi"/>
          <w:sz w:val="24"/>
          <w:szCs w:val="24"/>
          <w:lang w:eastAsia="en-US"/>
        </w:rPr>
        <w:t xml:space="preserve"> </w:t>
      </w:r>
      <w:r w:rsidR="001D612A">
        <w:rPr>
          <w:rFonts w:ascii="Century" w:eastAsiaTheme="minorHAnsi" w:hAnsi="Century" w:cstheme="minorBidi"/>
          <w:sz w:val="24"/>
          <w:szCs w:val="24"/>
          <w:lang w:eastAsia="en-US"/>
        </w:rPr>
        <w:t xml:space="preserve">los EM </w:t>
      </w:r>
      <w:r w:rsidR="00877B80">
        <w:rPr>
          <w:rFonts w:ascii="Century" w:eastAsiaTheme="minorHAnsi" w:hAnsi="Century" w:cstheme="minorBidi"/>
          <w:sz w:val="24"/>
          <w:szCs w:val="24"/>
          <w:lang w:eastAsia="en-US"/>
        </w:rPr>
        <w:t>gravan</w:t>
      </w:r>
      <w:r w:rsidRPr="002C13F3">
        <w:rPr>
          <w:rFonts w:ascii="Century" w:eastAsiaTheme="minorHAnsi" w:hAnsi="Century" w:cstheme="minorBidi"/>
          <w:sz w:val="24"/>
          <w:szCs w:val="24"/>
          <w:lang w:eastAsia="en-US"/>
        </w:rPr>
        <w:t xml:space="preserve"> las sucesiones </w:t>
      </w:r>
      <w:r w:rsidR="00877B80">
        <w:rPr>
          <w:rFonts w:ascii="Century" w:eastAsiaTheme="minorHAnsi" w:hAnsi="Century" w:cstheme="minorBidi"/>
          <w:sz w:val="24"/>
          <w:szCs w:val="24"/>
          <w:lang w:eastAsia="en-US"/>
        </w:rPr>
        <w:t xml:space="preserve">en sus respectivos territorios </w:t>
      </w:r>
      <w:r w:rsidRPr="002C13F3">
        <w:rPr>
          <w:rFonts w:ascii="Century" w:eastAsiaTheme="minorHAnsi" w:hAnsi="Century" w:cstheme="minorBidi"/>
          <w:sz w:val="24"/>
          <w:szCs w:val="24"/>
          <w:lang w:eastAsia="en-US"/>
        </w:rPr>
        <w:t>sobre la base de diversos criterios de sujeción de naturaleza personal o territorial para vincular a los contribuyentes a su jurisdicción</w:t>
      </w:r>
      <w:r w:rsidRPr="00A46A5F">
        <w:rPr>
          <w:rFonts w:ascii="Century" w:eastAsiaTheme="minorHAnsi" w:hAnsi="Century" w:cstheme="minorBidi"/>
          <w:sz w:val="24"/>
          <w:szCs w:val="24"/>
          <w:lang w:eastAsia="en-US"/>
        </w:rPr>
        <w:t>.</w:t>
      </w:r>
      <w:r w:rsidR="00877B80" w:rsidRPr="00A46A5F">
        <w:rPr>
          <w:rFonts w:ascii="Century" w:eastAsiaTheme="minorHAnsi" w:hAnsi="Century" w:cstheme="minorBidi"/>
          <w:sz w:val="24"/>
          <w:szCs w:val="24"/>
          <w:lang w:eastAsia="en-US"/>
        </w:rPr>
        <w:t xml:space="preserve"> Siendo e</w:t>
      </w:r>
      <w:r w:rsidRPr="00A46A5F">
        <w:rPr>
          <w:rFonts w:ascii="Century" w:eastAsiaTheme="minorHAnsi" w:hAnsi="Century" w:cstheme="minorBidi"/>
          <w:sz w:val="24"/>
          <w:szCs w:val="24"/>
          <w:lang w:eastAsia="en-US"/>
        </w:rPr>
        <w:t>l principal punto de conexión</w:t>
      </w:r>
      <w:r w:rsidR="00877B80" w:rsidRPr="00A46A5F">
        <w:rPr>
          <w:rFonts w:ascii="Century" w:eastAsiaTheme="minorHAnsi" w:hAnsi="Century" w:cstheme="minorBidi"/>
          <w:sz w:val="24"/>
          <w:szCs w:val="24"/>
          <w:lang w:eastAsia="en-US"/>
        </w:rPr>
        <w:t xml:space="preserve"> utilizado por</w:t>
      </w:r>
      <w:r w:rsidRPr="00A46A5F">
        <w:rPr>
          <w:rFonts w:ascii="Century" w:eastAsiaTheme="minorHAnsi" w:hAnsi="Century" w:cstheme="minorBidi"/>
          <w:sz w:val="24"/>
          <w:szCs w:val="24"/>
          <w:lang w:eastAsia="en-US"/>
        </w:rPr>
        <w:t xml:space="preserve"> la mayoría de los EM </w:t>
      </w:r>
      <w:r w:rsidR="00877B80" w:rsidRPr="00A46A5F">
        <w:rPr>
          <w:rFonts w:ascii="Century" w:eastAsiaTheme="minorHAnsi" w:hAnsi="Century" w:cstheme="minorBidi"/>
          <w:sz w:val="24"/>
          <w:szCs w:val="24"/>
          <w:lang w:eastAsia="en-US"/>
        </w:rPr>
        <w:t>el de</w:t>
      </w:r>
      <w:r w:rsidRPr="00A46A5F">
        <w:rPr>
          <w:rFonts w:ascii="Century" w:eastAsiaTheme="minorHAnsi" w:hAnsi="Century" w:cstheme="minorBidi"/>
          <w:sz w:val="24"/>
          <w:szCs w:val="24"/>
          <w:lang w:eastAsia="en-US"/>
        </w:rPr>
        <w:t xml:space="preserve"> la residencia fiscal,</w:t>
      </w:r>
      <w:r w:rsidR="00877B80" w:rsidRPr="00A46A5F">
        <w:rPr>
          <w:rFonts w:ascii="Century" w:eastAsiaTheme="minorHAnsi" w:hAnsi="Century" w:cstheme="minorBidi"/>
          <w:sz w:val="24"/>
          <w:szCs w:val="24"/>
          <w:lang w:eastAsia="en-US"/>
        </w:rPr>
        <w:t xml:space="preserve"> en algunos países</w:t>
      </w:r>
      <w:r w:rsidR="00537025">
        <w:rPr>
          <w:rFonts w:ascii="Century" w:eastAsiaTheme="minorHAnsi" w:hAnsi="Century" w:cstheme="minorBidi"/>
          <w:sz w:val="24"/>
          <w:szCs w:val="24"/>
          <w:lang w:eastAsia="en-US"/>
        </w:rPr>
        <w:t>,</w:t>
      </w:r>
      <w:r w:rsidR="00877B80" w:rsidRPr="00A46A5F">
        <w:rPr>
          <w:rFonts w:ascii="Century" w:eastAsiaTheme="minorHAnsi" w:hAnsi="Century" w:cstheme="minorBidi"/>
          <w:sz w:val="24"/>
          <w:szCs w:val="24"/>
          <w:lang w:eastAsia="en-US"/>
        </w:rPr>
        <w:t xml:space="preserve"> combinado con el de la nacionalidad (s</w:t>
      </w:r>
      <w:r w:rsidRPr="00A46A5F">
        <w:rPr>
          <w:rFonts w:ascii="Century" w:eastAsiaTheme="minorHAnsi" w:hAnsi="Century" w:cstheme="minorBidi"/>
          <w:sz w:val="24"/>
          <w:szCs w:val="24"/>
          <w:lang w:eastAsia="en-US"/>
        </w:rPr>
        <w:t>ólo cuatro países utilizan el criterio del domicilio</w:t>
      </w:r>
      <w:r w:rsidR="001D612A" w:rsidRPr="00A46A5F">
        <w:rPr>
          <w:rFonts w:ascii="Century" w:eastAsiaTheme="minorHAnsi" w:hAnsi="Century" w:cstheme="minorBidi"/>
          <w:sz w:val="24"/>
          <w:szCs w:val="24"/>
          <w:lang w:eastAsia="en-US"/>
        </w:rPr>
        <w:t>)</w:t>
      </w:r>
      <w:r w:rsidR="00537025">
        <w:rPr>
          <w:rFonts w:ascii="Century" w:eastAsiaTheme="minorHAnsi" w:hAnsi="Century" w:cstheme="minorBidi"/>
          <w:sz w:val="24"/>
          <w:szCs w:val="24"/>
          <w:lang w:eastAsia="en-US"/>
        </w:rPr>
        <w:t>, s</w:t>
      </w:r>
      <w:r w:rsidR="001D612A" w:rsidRPr="00A46A5F">
        <w:rPr>
          <w:rFonts w:ascii="Century" w:eastAsiaTheme="minorHAnsi" w:hAnsi="Century" w:cstheme="minorBidi"/>
          <w:sz w:val="24"/>
          <w:szCs w:val="24"/>
          <w:lang w:eastAsia="en-US"/>
        </w:rPr>
        <w:t>e producen importantes conflictos en los casos de sucesiones transfronterizas que han tenido que ser resueltos por el propio TJUE, conflictos derivados principalmente del establecimiento de concretos beneficios fiscales a sus residentes de sus respectivos países.</w:t>
      </w:r>
      <w:r w:rsidR="001D612A">
        <w:rPr>
          <w:rFonts w:ascii="Century" w:eastAsiaTheme="minorHAnsi" w:hAnsi="Century" w:cstheme="minorBidi"/>
          <w:sz w:val="24"/>
          <w:szCs w:val="24"/>
          <w:lang w:eastAsia="en-US"/>
        </w:rPr>
        <w:t xml:space="preserve"> Los tipos de gravamen  también </w:t>
      </w:r>
      <w:r w:rsidRPr="002C13F3">
        <w:rPr>
          <w:rFonts w:ascii="Century" w:eastAsiaTheme="minorHAnsi" w:hAnsi="Century" w:cstheme="minorBidi"/>
          <w:sz w:val="24"/>
          <w:szCs w:val="24"/>
          <w:lang w:eastAsia="en-US"/>
        </w:rPr>
        <w:t>varía</w:t>
      </w:r>
      <w:r w:rsidR="001D612A">
        <w:rPr>
          <w:rFonts w:ascii="Century" w:eastAsiaTheme="minorHAnsi" w:hAnsi="Century" w:cstheme="minorBidi"/>
          <w:sz w:val="24"/>
          <w:szCs w:val="24"/>
          <w:lang w:eastAsia="en-US"/>
        </w:rPr>
        <w:t>n</w:t>
      </w:r>
      <w:r w:rsidRPr="002C13F3">
        <w:rPr>
          <w:rFonts w:ascii="Century" w:eastAsiaTheme="minorHAnsi" w:hAnsi="Century" w:cstheme="minorBidi"/>
          <w:sz w:val="24"/>
          <w:szCs w:val="24"/>
          <w:lang w:eastAsia="en-US"/>
        </w:rPr>
        <w:t xml:space="preserve"> mucho de un Estado a otro, siendo en algunos países considerablemente más altos</w:t>
      </w:r>
      <w:r w:rsidR="001D612A">
        <w:rPr>
          <w:rFonts w:ascii="Century" w:eastAsiaTheme="minorHAnsi" w:hAnsi="Century" w:cstheme="minorBidi"/>
          <w:sz w:val="24"/>
          <w:szCs w:val="24"/>
          <w:lang w:eastAsia="en-US"/>
        </w:rPr>
        <w:t xml:space="preserve"> que en otros, pudiendo generar cierta competencia entre Estados. Veamos a continuación que ocurre en nuestro territorio.</w:t>
      </w:r>
    </w:p>
    <w:p w:rsidR="00FC655A" w:rsidRPr="002C13F3" w:rsidRDefault="00FC655A" w:rsidP="002D11BC">
      <w:pPr>
        <w:spacing w:after="240" w:line="360" w:lineRule="auto"/>
        <w:jc w:val="both"/>
        <w:rPr>
          <w:rFonts w:ascii="Century" w:hAnsi="Century"/>
          <w:b/>
          <w:sz w:val="24"/>
          <w:szCs w:val="24"/>
        </w:rPr>
      </w:pPr>
      <w:r w:rsidRPr="002C13F3">
        <w:rPr>
          <w:rFonts w:ascii="Century" w:hAnsi="Century"/>
          <w:b/>
          <w:sz w:val="24"/>
          <w:szCs w:val="24"/>
        </w:rPr>
        <w:lastRenderedPageBreak/>
        <w:t>3. EL IMPU</w:t>
      </w:r>
      <w:r w:rsidR="00537025">
        <w:rPr>
          <w:rFonts w:ascii="Century" w:hAnsi="Century"/>
          <w:b/>
          <w:sz w:val="24"/>
          <w:szCs w:val="24"/>
        </w:rPr>
        <w:t>ESTO SOBRE SUCESIONES EN ESPAÑA</w:t>
      </w:r>
    </w:p>
    <w:p w:rsidR="003126CE" w:rsidRPr="002C13F3" w:rsidRDefault="00FC655A" w:rsidP="002D11BC">
      <w:pPr>
        <w:spacing w:after="240" w:line="360" w:lineRule="auto"/>
        <w:ind w:left="284"/>
        <w:jc w:val="both"/>
        <w:rPr>
          <w:rFonts w:ascii="Century" w:hAnsi="Century"/>
          <w:b/>
          <w:sz w:val="24"/>
          <w:szCs w:val="24"/>
        </w:rPr>
      </w:pPr>
      <w:r w:rsidRPr="002C13F3">
        <w:rPr>
          <w:rFonts w:ascii="Century" w:hAnsi="Century"/>
          <w:b/>
          <w:sz w:val="24"/>
          <w:szCs w:val="24"/>
        </w:rPr>
        <w:t>3</w:t>
      </w:r>
      <w:r w:rsidR="003126CE" w:rsidRPr="002C13F3">
        <w:rPr>
          <w:rFonts w:ascii="Century" w:hAnsi="Century"/>
          <w:b/>
          <w:sz w:val="24"/>
          <w:szCs w:val="24"/>
        </w:rPr>
        <w:t>.1. P</w:t>
      </w:r>
      <w:r w:rsidR="00CE1840" w:rsidRPr="002C13F3">
        <w:rPr>
          <w:rFonts w:ascii="Century" w:hAnsi="Century"/>
          <w:b/>
          <w:sz w:val="24"/>
          <w:szCs w:val="24"/>
        </w:rPr>
        <w:t>otestad financiera de las Comunidades Autónomas</w:t>
      </w:r>
    </w:p>
    <w:p w:rsidR="003126CE" w:rsidRPr="002C13F3" w:rsidRDefault="003126CE" w:rsidP="002D11BC">
      <w:pPr>
        <w:spacing w:after="240" w:line="360" w:lineRule="auto"/>
        <w:jc w:val="both"/>
        <w:rPr>
          <w:rFonts w:ascii="Century" w:hAnsi="Century"/>
          <w:sz w:val="24"/>
          <w:szCs w:val="24"/>
        </w:rPr>
      </w:pPr>
      <w:r w:rsidRPr="002C13F3">
        <w:rPr>
          <w:rFonts w:ascii="Century" w:hAnsi="Century"/>
          <w:sz w:val="24"/>
          <w:szCs w:val="24"/>
        </w:rPr>
        <w:tab/>
      </w:r>
      <w:r w:rsidR="00D20C2C">
        <w:rPr>
          <w:rFonts w:ascii="Century" w:hAnsi="Century"/>
          <w:sz w:val="24"/>
          <w:szCs w:val="24"/>
        </w:rPr>
        <w:t>La actual forma territorial de nuestro</w:t>
      </w:r>
      <w:r w:rsidRPr="002C13F3">
        <w:rPr>
          <w:rFonts w:ascii="Century" w:hAnsi="Century"/>
          <w:sz w:val="24"/>
          <w:szCs w:val="24"/>
        </w:rPr>
        <w:t xml:space="preserve"> Estado es el resultado de un extenso y complejo proceso de c</w:t>
      </w:r>
      <w:r w:rsidR="003F4121" w:rsidRPr="002C13F3">
        <w:rPr>
          <w:rFonts w:ascii="Century" w:hAnsi="Century"/>
          <w:sz w:val="24"/>
          <w:szCs w:val="24"/>
        </w:rPr>
        <w:t>onstrucción</w:t>
      </w:r>
      <w:r w:rsidR="00D20C2C">
        <w:rPr>
          <w:rFonts w:ascii="Century" w:hAnsi="Century"/>
          <w:sz w:val="24"/>
          <w:szCs w:val="24"/>
        </w:rPr>
        <w:t xml:space="preserve"> del</w:t>
      </w:r>
      <w:r w:rsidR="003F4121" w:rsidRPr="002C13F3">
        <w:rPr>
          <w:rFonts w:ascii="Century" w:hAnsi="Century"/>
          <w:sz w:val="24"/>
          <w:szCs w:val="24"/>
        </w:rPr>
        <w:t xml:space="preserve"> denominado “Estado a</w:t>
      </w:r>
      <w:r w:rsidR="00D20C2C">
        <w:rPr>
          <w:rFonts w:ascii="Century" w:hAnsi="Century"/>
          <w:sz w:val="24"/>
          <w:szCs w:val="24"/>
        </w:rPr>
        <w:t xml:space="preserve">utonómico”, originado por </w:t>
      </w:r>
      <w:r w:rsidRPr="002C13F3">
        <w:rPr>
          <w:rFonts w:ascii="Century" w:hAnsi="Century"/>
          <w:sz w:val="24"/>
          <w:szCs w:val="24"/>
        </w:rPr>
        <w:t>una serie de decisiones políticas, normativas y jurisprudenciales que se concretan en la Constitución Española (CE, en adelante), los Estatutos de Autonomía, los pactos autonómicos</w:t>
      </w:r>
      <w:r w:rsidR="00D20C2C">
        <w:rPr>
          <w:rFonts w:ascii="Century" w:hAnsi="Century"/>
          <w:sz w:val="24"/>
          <w:szCs w:val="24"/>
        </w:rPr>
        <w:t>,</w:t>
      </w:r>
      <w:r w:rsidRPr="002C13F3">
        <w:rPr>
          <w:rFonts w:ascii="Century" w:hAnsi="Century"/>
          <w:sz w:val="24"/>
          <w:szCs w:val="24"/>
        </w:rPr>
        <w:t xml:space="preserve"> y en las sentencias del Tribunal Constituciona</w:t>
      </w:r>
      <w:r w:rsidR="003F4121" w:rsidRPr="002C13F3">
        <w:rPr>
          <w:rFonts w:ascii="Century" w:hAnsi="Century"/>
          <w:sz w:val="24"/>
          <w:szCs w:val="24"/>
        </w:rPr>
        <w:t>l (TC). La creación del Estado a</w:t>
      </w:r>
      <w:r w:rsidRPr="002C13F3">
        <w:rPr>
          <w:rFonts w:ascii="Century" w:hAnsi="Century"/>
          <w:sz w:val="24"/>
          <w:szCs w:val="24"/>
        </w:rPr>
        <w:t xml:space="preserve">utonómico y la situación de las </w:t>
      </w:r>
      <w:r w:rsidR="003F4121" w:rsidRPr="002C13F3">
        <w:rPr>
          <w:rFonts w:ascii="Century" w:hAnsi="Century"/>
          <w:sz w:val="24"/>
          <w:szCs w:val="24"/>
        </w:rPr>
        <w:t xml:space="preserve">CCAA </w:t>
      </w:r>
      <w:r w:rsidRPr="002C13F3">
        <w:rPr>
          <w:rFonts w:ascii="Century" w:hAnsi="Century"/>
          <w:sz w:val="24"/>
          <w:szCs w:val="24"/>
        </w:rPr>
        <w:t>de iniciar su actividad, determinaba la necesidad de configurar un sistema de financiación</w:t>
      </w:r>
      <w:r w:rsidR="00D20C2C">
        <w:rPr>
          <w:rFonts w:ascii="Century" w:hAnsi="Century"/>
          <w:sz w:val="24"/>
          <w:szCs w:val="24"/>
        </w:rPr>
        <w:t>,</w:t>
      </w:r>
      <w:r w:rsidRPr="002C13F3">
        <w:rPr>
          <w:rFonts w:ascii="Century" w:hAnsi="Century"/>
          <w:sz w:val="24"/>
          <w:szCs w:val="24"/>
        </w:rPr>
        <w:t xml:space="preserve"> que garantizara la obtención de los recursos necesarios para ejercer las competencias que estos nuevos entes territoriales iban asumiendo. </w:t>
      </w:r>
    </w:p>
    <w:p w:rsidR="003126CE" w:rsidRPr="002C13F3" w:rsidRDefault="003126CE" w:rsidP="002D11BC">
      <w:pPr>
        <w:spacing w:after="240" w:line="360" w:lineRule="auto"/>
        <w:jc w:val="both"/>
        <w:rPr>
          <w:rFonts w:ascii="Century" w:hAnsi="Century"/>
          <w:sz w:val="24"/>
          <w:szCs w:val="24"/>
        </w:rPr>
      </w:pPr>
      <w:r w:rsidRPr="002C13F3">
        <w:rPr>
          <w:rFonts w:ascii="Century" w:hAnsi="Century"/>
          <w:sz w:val="24"/>
          <w:szCs w:val="24"/>
        </w:rPr>
        <w:tab/>
        <w:t>El actual régimen de financiación de las CCAA, en lo que afecta a la legislación estatal</w:t>
      </w:r>
      <w:r w:rsidR="00D20C2C">
        <w:rPr>
          <w:rFonts w:ascii="Century" w:hAnsi="Century"/>
          <w:sz w:val="24"/>
          <w:szCs w:val="24"/>
        </w:rPr>
        <w:t xml:space="preserve"> y por lo que respecta a nuestro trabajo</w:t>
      </w:r>
      <w:r w:rsidRPr="002C13F3">
        <w:rPr>
          <w:rFonts w:ascii="Century" w:hAnsi="Century"/>
          <w:sz w:val="24"/>
          <w:szCs w:val="24"/>
        </w:rPr>
        <w:t>, ha sido objeto de desarrollo a través de una sucesión de normas</w:t>
      </w:r>
      <w:r w:rsidRPr="00514069">
        <w:rPr>
          <w:rFonts w:ascii="Calibri" w:hAnsi="Calibri" w:cs="Calibri"/>
          <w:sz w:val="24"/>
          <w:szCs w:val="24"/>
        </w:rPr>
        <w:t>:</w:t>
      </w:r>
    </w:p>
    <w:p w:rsidR="003126CE" w:rsidRPr="002C13F3" w:rsidRDefault="003126CE" w:rsidP="002D11BC">
      <w:pPr>
        <w:pStyle w:val="Prrafodelista"/>
        <w:numPr>
          <w:ilvl w:val="0"/>
          <w:numId w:val="1"/>
        </w:numPr>
        <w:spacing w:after="240" w:line="360" w:lineRule="auto"/>
        <w:ind w:firstLine="0"/>
        <w:jc w:val="both"/>
        <w:rPr>
          <w:rFonts w:ascii="Century" w:hAnsi="Century" w:cs="Arial"/>
          <w:sz w:val="24"/>
          <w:szCs w:val="24"/>
        </w:rPr>
      </w:pPr>
      <w:r w:rsidRPr="002C13F3">
        <w:rPr>
          <w:rFonts w:ascii="Century" w:hAnsi="Century" w:cs="Arial"/>
          <w:sz w:val="24"/>
          <w:szCs w:val="24"/>
        </w:rPr>
        <w:t xml:space="preserve">Ley Orgánica 8/1980, de 22 de septiembre, de Financiación de las Comunidades Autónomas (LOFCA). </w:t>
      </w:r>
    </w:p>
    <w:p w:rsidR="003126CE" w:rsidRPr="002C13F3" w:rsidRDefault="003126CE" w:rsidP="002D11BC">
      <w:pPr>
        <w:pStyle w:val="Prrafodelista"/>
        <w:numPr>
          <w:ilvl w:val="0"/>
          <w:numId w:val="1"/>
        </w:numPr>
        <w:spacing w:after="240" w:line="360" w:lineRule="auto"/>
        <w:ind w:firstLine="0"/>
        <w:jc w:val="both"/>
        <w:rPr>
          <w:rFonts w:ascii="Century" w:hAnsi="Century" w:cs="Arial"/>
          <w:sz w:val="24"/>
          <w:szCs w:val="24"/>
        </w:rPr>
      </w:pPr>
      <w:r w:rsidRPr="002C13F3">
        <w:rPr>
          <w:rFonts w:ascii="Century" w:hAnsi="Century" w:cs="Arial"/>
          <w:sz w:val="24"/>
          <w:szCs w:val="24"/>
        </w:rPr>
        <w:t>Ley 30/1983, de 28 de diciembre, de cesión de tribu</w:t>
      </w:r>
      <w:r w:rsidR="00D20C2C">
        <w:rPr>
          <w:rFonts w:ascii="Century" w:hAnsi="Century" w:cs="Arial"/>
          <w:sz w:val="24"/>
          <w:szCs w:val="24"/>
        </w:rPr>
        <w:t>tos a las Comunidades Autónomas (</w:t>
      </w:r>
      <w:r w:rsidRPr="002C13F3">
        <w:rPr>
          <w:rFonts w:ascii="Century" w:hAnsi="Century" w:cs="Arial"/>
          <w:sz w:val="24"/>
          <w:szCs w:val="24"/>
        </w:rPr>
        <w:t>que determinó po</w:t>
      </w:r>
      <w:r w:rsidR="004B017E">
        <w:rPr>
          <w:rFonts w:ascii="Century" w:hAnsi="Century" w:cs="Arial"/>
          <w:sz w:val="24"/>
          <w:szCs w:val="24"/>
        </w:rPr>
        <w:t>r primera vez la cesión del ISUC</w:t>
      </w:r>
      <w:r w:rsidRPr="002C13F3">
        <w:rPr>
          <w:rFonts w:ascii="Century" w:hAnsi="Century" w:cs="Arial"/>
          <w:sz w:val="24"/>
          <w:szCs w:val="24"/>
        </w:rPr>
        <w:t xml:space="preserve"> a las CCAA</w:t>
      </w:r>
      <w:r w:rsidR="00D20C2C">
        <w:rPr>
          <w:rFonts w:ascii="Century" w:hAnsi="Century" w:cs="Arial"/>
          <w:sz w:val="24"/>
          <w:szCs w:val="24"/>
        </w:rPr>
        <w:t>)</w:t>
      </w:r>
      <w:r w:rsidRPr="002C13F3">
        <w:rPr>
          <w:rFonts w:ascii="Century" w:hAnsi="Century" w:cs="Arial"/>
          <w:sz w:val="24"/>
          <w:szCs w:val="24"/>
        </w:rPr>
        <w:t xml:space="preserve">. </w:t>
      </w:r>
    </w:p>
    <w:p w:rsidR="003126CE" w:rsidRDefault="003126CE" w:rsidP="002D11BC">
      <w:pPr>
        <w:pStyle w:val="Prrafodelista"/>
        <w:numPr>
          <w:ilvl w:val="0"/>
          <w:numId w:val="1"/>
        </w:numPr>
        <w:spacing w:after="240" w:line="360" w:lineRule="auto"/>
        <w:ind w:firstLine="0"/>
        <w:jc w:val="both"/>
        <w:rPr>
          <w:rFonts w:ascii="Century" w:hAnsi="Century" w:cs="Arial"/>
          <w:sz w:val="24"/>
          <w:szCs w:val="24"/>
        </w:rPr>
      </w:pPr>
      <w:r w:rsidRPr="002C13F3">
        <w:rPr>
          <w:rFonts w:ascii="Century" w:hAnsi="Century" w:cs="Arial"/>
          <w:sz w:val="24"/>
          <w:szCs w:val="24"/>
        </w:rPr>
        <w:t xml:space="preserve">Ley 14/1996, de 30 de diciembre, de cesión de tributos a las Comunidades Autónomas y de Medidas Fiscales complementarias, que amplió los tributos objeto de cesión, incluyendo el </w:t>
      </w:r>
      <w:r w:rsidR="004C1D28">
        <w:rPr>
          <w:rFonts w:ascii="Century" w:hAnsi="Century" w:cs="Arial"/>
          <w:sz w:val="24"/>
          <w:szCs w:val="24"/>
        </w:rPr>
        <w:t>Impuesto sobre la Renta de las Personas Físicas (</w:t>
      </w:r>
      <w:r w:rsidRPr="002C13F3">
        <w:rPr>
          <w:rFonts w:ascii="Century" w:hAnsi="Century" w:cs="Arial"/>
          <w:sz w:val="24"/>
          <w:szCs w:val="24"/>
        </w:rPr>
        <w:t>IRPF</w:t>
      </w:r>
      <w:r w:rsidR="004C1D28">
        <w:rPr>
          <w:rFonts w:ascii="Century" w:hAnsi="Century" w:cs="Arial"/>
          <w:sz w:val="24"/>
          <w:szCs w:val="24"/>
        </w:rPr>
        <w:t>)</w:t>
      </w:r>
      <w:r w:rsidRPr="002C13F3">
        <w:rPr>
          <w:rFonts w:ascii="Century" w:hAnsi="Century" w:cs="Arial"/>
          <w:sz w:val="24"/>
          <w:szCs w:val="24"/>
        </w:rPr>
        <w:t>, y por la que se atribuyeron ciertas competencias normativas a las CCAA en relación con aquellos tributos.</w:t>
      </w:r>
    </w:p>
    <w:p w:rsidR="00CF791C" w:rsidRPr="002C13F3" w:rsidRDefault="00CF791C" w:rsidP="00CF791C">
      <w:pPr>
        <w:pStyle w:val="Prrafodelista"/>
        <w:numPr>
          <w:ilvl w:val="0"/>
          <w:numId w:val="1"/>
        </w:numPr>
        <w:spacing w:after="240" w:line="360" w:lineRule="auto"/>
        <w:ind w:firstLine="0"/>
        <w:jc w:val="both"/>
        <w:rPr>
          <w:rFonts w:ascii="Century" w:hAnsi="Century" w:cs="Arial"/>
          <w:sz w:val="24"/>
          <w:szCs w:val="24"/>
        </w:rPr>
      </w:pPr>
      <w:r>
        <w:rPr>
          <w:rFonts w:ascii="Century" w:hAnsi="Century" w:cs="Arial"/>
          <w:sz w:val="24"/>
          <w:szCs w:val="24"/>
        </w:rPr>
        <w:t xml:space="preserve">Ley 21/2001, de 27 de diciembre, por la que se regulan las medidas fiscales y administrativas del nuevo sistema de financiación de las Comunidades Autónomas de régimen común y Ciudades de Estatuto de Autonomía. </w:t>
      </w:r>
    </w:p>
    <w:p w:rsidR="003126CE" w:rsidRDefault="003126CE" w:rsidP="002D11BC">
      <w:pPr>
        <w:pStyle w:val="Prrafodelista"/>
        <w:numPr>
          <w:ilvl w:val="0"/>
          <w:numId w:val="1"/>
        </w:numPr>
        <w:spacing w:after="240" w:line="360" w:lineRule="auto"/>
        <w:ind w:firstLine="0"/>
        <w:jc w:val="both"/>
        <w:rPr>
          <w:rFonts w:ascii="Century" w:hAnsi="Century" w:cs="Arial"/>
          <w:sz w:val="24"/>
          <w:szCs w:val="24"/>
        </w:rPr>
      </w:pPr>
      <w:r w:rsidRPr="002C13F3">
        <w:rPr>
          <w:rFonts w:ascii="Century" w:hAnsi="Century" w:cs="Arial"/>
          <w:sz w:val="24"/>
          <w:szCs w:val="24"/>
        </w:rPr>
        <w:lastRenderedPageBreak/>
        <w:t>Ley 3/2009, de 18 de diciembre, de modificación de la LOFCA, que aumenta las cesiones de tributos, crea nuevos principios como la de un nivel base equivalente de financiación de los servicios públicos fundamentales y la corresponsabilidad de las CC</w:t>
      </w:r>
      <w:r w:rsidR="00D20C2C">
        <w:rPr>
          <w:rFonts w:ascii="Century" w:hAnsi="Century" w:cs="Arial"/>
          <w:sz w:val="24"/>
          <w:szCs w:val="24"/>
        </w:rPr>
        <w:t>AA y el Estado, así como aclara</w:t>
      </w:r>
      <w:r w:rsidRPr="002C13F3">
        <w:rPr>
          <w:rFonts w:ascii="Century" w:hAnsi="Century" w:cs="Arial"/>
          <w:sz w:val="24"/>
          <w:szCs w:val="24"/>
        </w:rPr>
        <w:t xml:space="preserve"> las condiciones de creación de nuevos</w:t>
      </w:r>
      <w:r w:rsidR="00D20C2C">
        <w:rPr>
          <w:rFonts w:ascii="Century" w:hAnsi="Century" w:cs="Arial"/>
          <w:sz w:val="24"/>
          <w:szCs w:val="24"/>
        </w:rPr>
        <w:t xml:space="preserve"> tributos por las CCAA y amplia</w:t>
      </w:r>
      <w:r w:rsidRPr="002C13F3">
        <w:rPr>
          <w:rFonts w:ascii="Century" w:hAnsi="Century" w:cs="Arial"/>
          <w:sz w:val="24"/>
          <w:szCs w:val="24"/>
        </w:rPr>
        <w:t xml:space="preserve"> las competencias autonómicas en materia de Revisión Económico-Administrativa.</w:t>
      </w:r>
    </w:p>
    <w:p w:rsidR="003126CE" w:rsidRPr="002C13F3" w:rsidRDefault="003126CE" w:rsidP="002D11BC">
      <w:pPr>
        <w:pStyle w:val="Prrafodelista"/>
        <w:numPr>
          <w:ilvl w:val="0"/>
          <w:numId w:val="1"/>
        </w:numPr>
        <w:spacing w:after="240" w:line="360" w:lineRule="auto"/>
        <w:ind w:firstLine="0"/>
        <w:jc w:val="both"/>
        <w:rPr>
          <w:rFonts w:ascii="Century" w:eastAsia="Times New Roman" w:hAnsi="Century" w:cs="Arial"/>
          <w:bCs/>
          <w:sz w:val="24"/>
          <w:szCs w:val="24"/>
          <w:lang w:eastAsia="es-ES"/>
        </w:rPr>
      </w:pPr>
      <w:r w:rsidRPr="002C13F3">
        <w:rPr>
          <w:rFonts w:ascii="Century" w:eastAsia="Times New Roman" w:hAnsi="Century" w:cs="Arial"/>
          <w:bCs/>
          <w:sz w:val="24"/>
          <w:szCs w:val="24"/>
          <w:lang w:eastAsia="es-ES"/>
        </w:rPr>
        <w:t>Ley 22/2009, de 18 de diciembre, por la que se regula el sistema de financiación de las Comunidades Autónomas de régimen común y Ciudades con Estatuto de Autonomía</w:t>
      </w:r>
      <w:r w:rsidR="00D20C2C">
        <w:rPr>
          <w:rFonts w:ascii="Century" w:eastAsia="Times New Roman" w:hAnsi="Century" w:cs="Arial"/>
          <w:bCs/>
          <w:sz w:val="24"/>
          <w:szCs w:val="24"/>
          <w:lang w:eastAsia="es-ES"/>
        </w:rPr>
        <w:t>,</w:t>
      </w:r>
      <w:r w:rsidRPr="002C13F3">
        <w:rPr>
          <w:rFonts w:ascii="Century" w:eastAsia="Times New Roman" w:hAnsi="Century" w:cs="Arial"/>
          <w:bCs/>
          <w:sz w:val="24"/>
          <w:szCs w:val="24"/>
          <w:lang w:eastAsia="es-ES"/>
        </w:rPr>
        <w:t xml:space="preserve"> y se modifican determinadas normas tributarias (Ley de Cesión, en adelante)</w:t>
      </w:r>
      <w:r w:rsidRPr="002C13F3">
        <w:rPr>
          <w:rStyle w:val="Refdenotaalpie"/>
          <w:rFonts w:ascii="Century" w:eastAsia="Times New Roman" w:hAnsi="Century" w:cs="Arial"/>
          <w:bCs/>
          <w:sz w:val="24"/>
          <w:szCs w:val="24"/>
          <w:lang w:eastAsia="es-ES"/>
        </w:rPr>
        <w:footnoteReference w:id="37"/>
      </w:r>
      <w:r w:rsidRPr="002C13F3">
        <w:rPr>
          <w:rFonts w:ascii="Century" w:eastAsia="Times New Roman" w:hAnsi="Century" w:cs="Arial"/>
          <w:bCs/>
          <w:sz w:val="24"/>
          <w:szCs w:val="24"/>
          <w:lang w:eastAsia="es-ES"/>
        </w:rPr>
        <w:t xml:space="preserve">. </w:t>
      </w:r>
    </w:p>
    <w:p w:rsidR="00B8173E" w:rsidRPr="002C13F3" w:rsidRDefault="003126CE" w:rsidP="002D11BC">
      <w:pPr>
        <w:spacing w:after="240" w:line="360" w:lineRule="auto"/>
        <w:jc w:val="both"/>
        <w:rPr>
          <w:rFonts w:ascii="Century" w:eastAsia="Times New Roman" w:hAnsi="Century" w:cs="Arial"/>
          <w:bCs/>
          <w:sz w:val="24"/>
          <w:szCs w:val="24"/>
        </w:rPr>
      </w:pPr>
      <w:r w:rsidRPr="002C13F3">
        <w:rPr>
          <w:rFonts w:ascii="Century" w:eastAsia="Times New Roman" w:hAnsi="Century" w:cs="Arial"/>
          <w:bCs/>
          <w:sz w:val="24"/>
          <w:szCs w:val="24"/>
        </w:rPr>
        <w:tab/>
        <w:t xml:space="preserve">Este sistema de financiación tiene como principal objetivo </w:t>
      </w:r>
      <w:r w:rsidR="00D20C2C">
        <w:rPr>
          <w:rFonts w:ascii="Century" w:eastAsia="Times New Roman" w:hAnsi="Century" w:cs="Arial"/>
          <w:bCs/>
          <w:sz w:val="24"/>
          <w:szCs w:val="24"/>
        </w:rPr>
        <w:t xml:space="preserve">desarrollar </w:t>
      </w:r>
      <w:r w:rsidRPr="002C13F3">
        <w:rPr>
          <w:rFonts w:ascii="Century" w:eastAsia="Times New Roman" w:hAnsi="Century" w:cs="Arial"/>
          <w:bCs/>
          <w:sz w:val="24"/>
          <w:szCs w:val="24"/>
        </w:rPr>
        <w:t>el principio de autonomía regulado en el art. 156.1 de la CE</w:t>
      </w:r>
      <w:r w:rsidR="00D20C2C">
        <w:rPr>
          <w:rFonts w:ascii="Century" w:eastAsia="Times New Roman" w:hAnsi="Century" w:cs="Arial"/>
          <w:bCs/>
          <w:sz w:val="24"/>
          <w:szCs w:val="24"/>
        </w:rPr>
        <w:t>,</w:t>
      </w:r>
      <w:r w:rsidRPr="002C13F3">
        <w:rPr>
          <w:rFonts w:ascii="Century" w:eastAsia="Times New Roman" w:hAnsi="Century" w:cs="Arial"/>
          <w:bCs/>
          <w:sz w:val="24"/>
          <w:szCs w:val="24"/>
        </w:rPr>
        <w:t xml:space="preserve"> que establece que las CCAA deberán gozar de autonomía financiera para el desarrollo y ejecución de sus competencias. </w:t>
      </w:r>
      <w:r w:rsidR="00D20C2C">
        <w:rPr>
          <w:rFonts w:ascii="Century" w:eastAsia="Times New Roman" w:hAnsi="Century" w:cs="Arial"/>
          <w:bCs/>
          <w:sz w:val="24"/>
          <w:szCs w:val="24"/>
        </w:rPr>
        <w:t xml:space="preserve">Ésta se consigue </w:t>
      </w:r>
      <w:r w:rsidR="00B8173E" w:rsidRPr="002C13F3">
        <w:rPr>
          <w:rFonts w:ascii="Century" w:eastAsia="Times New Roman" w:hAnsi="Century" w:cs="Arial"/>
          <w:bCs/>
          <w:sz w:val="24"/>
          <w:szCs w:val="24"/>
        </w:rPr>
        <w:t>a través de un poder financiero que individualiza la situación jurídica activa d</w:t>
      </w:r>
      <w:r w:rsidR="00675BA2">
        <w:rPr>
          <w:rFonts w:ascii="Century" w:eastAsia="Times New Roman" w:hAnsi="Century" w:cs="Arial"/>
          <w:bCs/>
          <w:sz w:val="24"/>
          <w:szCs w:val="24"/>
        </w:rPr>
        <w:t>e cada Comunidad. De esta forma</w:t>
      </w:r>
      <w:r w:rsidR="00B8173E" w:rsidRPr="002C13F3">
        <w:rPr>
          <w:rFonts w:ascii="Century" w:eastAsia="Times New Roman" w:hAnsi="Century" w:cs="Arial"/>
          <w:bCs/>
          <w:sz w:val="24"/>
          <w:szCs w:val="24"/>
        </w:rPr>
        <w:t>, la autonomía significa “poder de determinar los medios y los fines así como de elaborar un presupuesto como expresión de una voluntad política de perseguir objetivos propios en la forma considerada la más adecuada a sus propias necesidades y con el empleo de los medios reputados más idóneos</w:t>
      </w:r>
      <w:r w:rsidR="00502F78" w:rsidRPr="002C13F3">
        <w:rPr>
          <w:rFonts w:ascii="Century" w:eastAsia="Times New Roman" w:hAnsi="Century" w:cs="Arial"/>
          <w:bCs/>
          <w:sz w:val="24"/>
          <w:szCs w:val="24"/>
        </w:rPr>
        <w:t>”</w:t>
      </w:r>
      <w:r w:rsidR="00B8173E" w:rsidRPr="002C13F3">
        <w:rPr>
          <w:rFonts w:ascii="Century" w:eastAsia="Times New Roman" w:hAnsi="Century" w:cs="Arial"/>
          <w:bCs/>
          <w:sz w:val="24"/>
          <w:szCs w:val="24"/>
        </w:rPr>
        <w:t xml:space="preserve">. </w:t>
      </w:r>
      <w:r w:rsidR="00D20C2C">
        <w:rPr>
          <w:rFonts w:ascii="Century" w:eastAsia="Times New Roman" w:hAnsi="Century" w:cs="Arial"/>
          <w:bCs/>
          <w:sz w:val="24"/>
          <w:szCs w:val="24"/>
        </w:rPr>
        <w:t xml:space="preserve">O </w:t>
      </w:r>
      <w:r w:rsidRPr="002C13F3">
        <w:rPr>
          <w:rFonts w:ascii="Century" w:eastAsia="Times New Roman" w:hAnsi="Century" w:cs="Arial"/>
          <w:bCs/>
          <w:sz w:val="24"/>
          <w:szCs w:val="24"/>
        </w:rPr>
        <w:t>como “la gestión autónoma de ingresos propios y como la necesidad de proveer por sí misma a la sa</w:t>
      </w:r>
      <w:r w:rsidR="00B8173E" w:rsidRPr="002C13F3">
        <w:rPr>
          <w:rFonts w:ascii="Century" w:eastAsia="Times New Roman" w:hAnsi="Century" w:cs="Arial"/>
          <w:bCs/>
          <w:sz w:val="24"/>
          <w:szCs w:val="24"/>
        </w:rPr>
        <w:t>tisfacción de sus necesidades”</w:t>
      </w:r>
      <w:r w:rsidRPr="002C13F3">
        <w:rPr>
          <w:rStyle w:val="Refdenotaalpie"/>
          <w:rFonts w:ascii="Century" w:eastAsia="Times New Roman" w:hAnsi="Century" w:cs="Arial"/>
          <w:bCs/>
          <w:sz w:val="24"/>
          <w:szCs w:val="24"/>
        </w:rPr>
        <w:footnoteReference w:id="38"/>
      </w:r>
      <w:r w:rsidRPr="002C13F3">
        <w:rPr>
          <w:rFonts w:ascii="Century" w:eastAsia="Times New Roman" w:hAnsi="Century" w:cs="Arial"/>
          <w:bCs/>
          <w:sz w:val="24"/>
          <w:szCs w:val="24"/>
        </w:rPr>
        <w:t>.</w:t>
      </w:r>
      <w:r w:rsidR="0059321E" w:rsidRPr="002C13F3">
        <w:rPr>
          <w:rFonts w:ascii="Century" w:eastAsia="Times New Roman" w:hAnsi="Century" w:cs="Arial"/>
          <w:bCs/>
          <w:sz w:val="24"/>
          <w:szCs w:val="24"/>
        </w:rPr>
        <w:t xml:space="preserve"> </w:t>
      </w:r>
    </w:p>
    <w:p w:rsidR="00D20C2C" w:rsidRDefault="003126CE" w:rsidP="002D11BC">
      <w:pPr>
        <w:spacing w:after="240" w:line="360" w:lineRule="auto"/>
        <w:jc w:val="both"/>
        <w:rPr>
          <w:rFonts w:ascii="Century" w:eastAsia="Times New Roman" w:hAnsi="Century" w:cs="Arial"/>
          <w:bCs/>
          <w:sz w:val="24"/>
          <w:szCs w:val="24"/>
        </w:rPr>
      </w:pPr>
      <w:r w:rsidRPr="002C13F3">
        <w:rPr>
          <w:rFonts w:ascii="Century" w:eastAsia="Times New Roman" w:hAnsi="Century" w:cs="Arial"/>
          <w:bCs/>
          <w:sz w:val="24"/>
          <w:szCs w:val="24"/>
        </w:rPr>
        <w:tab/>
      </w:r>
      <w:r w:rsidR="00D20C2C">
        <w:rPr>
          <w:rFonts w:ascii="Century" w:eastAsia="Times New Roman" w:hAnsi="Century" w:cs="Arial"/>
          <w:bCs/>
          <w:sz w:val="24"/>
          <w:szCs w:val="24"/>
        </w:rPr>
        <w:t>En definitiva</w:t>
      </w:r>
      <w:r w:rsidRPr="002C13F3">
        <w:rPr>
          <w:rFonts w:ascii="Century" w:eastAsia="Times New Roman" w:hAnsi="Century" w:cs="Arial"/>
          <w:bCs/>
          <w:sz w:val="24"/>
          <w:szCs w:val="24"/>
        </w:rPr>
        <w:t xml:space="preserve">, si la CE reconoce a las CCAA autonomía para la gestión de sus intereses, también deberá reconocerles los medios necesarios para lograrla. En este sentido, la autonomía se podría entender como la </w:t>
      </w:r>
      <w:r w:rsidRPr="002C13F3">
        <w:rPr>
          <w:rFonts w:ascii="Century" w:eastAsia="Times New Roman" w:hAnsi="Century" w:cs="Arial"/>
          <w:bCs/>
          <w:sz w:val="24"/>
          <w:szCs w:val="24"/>
        </w:rPr>
        <w:lastRenderedPageBreak/>
        <w:t xml:space="preserve">capacidad de las CCAA para disponer libremente de sus recursos financieros. </w:t>
      </w:r>
      <w:r w:rsidR="00D20C2C">
        <w:rPr>
          <w:rFonts w:ascii="Century" w:eastAsia="Times New Roman" w:hAnsi="Century" w:cs="Arial"/>
          <w:bCs/>
          <w:sz w:val="24"/>
          <w:szCs w:val="24"/>
        </w:rPr>
        <w:t>De acuerdo con ello, e</w:t>
      </w:r>
      <w:r w:rsidRPr="002C13F3">
        <w:rPr>
          <w:rFonts w:ascii="Century" w:eastAsia="Times New Roman" w:hAnsi="Century" w:cs="Arial"/>
          <w:bCs/>
          <w:sz w:val="24"/>
          <w:szCs w:val="24"/>
        </w:rPr>
        <w:t xml:space="preserve">l art. 157.1 de la CE reconoce a las CCAA unos recursos financieros </w:t>
      </w:r>
      <w:r w:rsidR="007E6BC0">
        <w:rPr>
          <w:rFonts w:ascii="Century" w:eastAsia="Times New Roman" w:hAnsi="Century" w:cs="Arial"/>
          <w:bCs/>
          <w:sz w:val="24"/>
          <w:szCs w:val="24"/>
        </w:rPr>
        <w:t xml:space="preserve">para poder sufragar sus gastos </w:t>
      </w:r>
      <w:r w:rsidRPr="002C13F3">
        <w:rPr>
          <w:rFonts w:ascii="Century" w:eastAsia="Times New Roman" w:hAnsi="Century" w:cs="Arial"/>
          <w:bCs/>
          <w:sz w:val="24"/>
          <w:szCs w:val="24"/>
        </w:rPr>
        <w:t>constituidos por</w:t>
      </w:r>
      <w:r w:rsidRPr="00514069">
        <w:rPr>
          <w:rFonts w:eastAsia="Times New Roman" w:cstheme="minorHAnsi"/>
          <w:bCs/>
          <w:sz w:val="24"/>
          <w:szCs w:val="24"/>
        </w:rPr>
        <w:t>:</w:t>
      </w:r>
      <w:r w:rsidRPr="002C13F3">
        <w:rPr>
          <w:rFonts w:ascii="Century" w:eastAsia="Times New Roman" w:hAnsi="Century" w:cs="Arial"/>
          <w:bCs/>
          <w:sz w:val="24"/>
          <w:szCs w:val="24"/>
        </w:rPr>
        <w:t xml:space="preserve"> </w:t>
      </w:r>
    </w:p>
    <w:p w:rsidR="00D20C2C" w:rsidRPr="00D20C2C" w:rsidRDefault="001D4ADE" w:rsidP="00653CAA">
      <w:pPr>
        <w:pStyle w:val="Prrafodelista"/>
        <w:numPr>
          <w:ilvl w:val="0"/>
          <w:numId w:val="16"/>
        </w:numPr>
        <w:tabs>
          <w:tab w:val="left" w:pos="709"/>
        </w:tabs>
        <w:spacing w:after="240" w:line="360" w:lineRule="auto"/>
        <w:ind w:left="709" w:hanging="283"/>
        <w:jc w:val="both"/>
        <w:rPr>
          <w:rFonts w:ascii="Century" w:eastAsia="Times New Roman" w:hAnsi="Century" w:cs="Arial"/>
          <w:bCs/>
          <w:sz w:val="24"/>
          <w:szCs w:val="24"/>
        </w:rPr>
      </w:pPr>
      <w:r>
        <w:rPr>
          <w:rFonts w:ascii="Century" w:eastAsia="Times New Roman" w:hAnsi="Century" w:cs="Arial"/>
          <w:bCs/>
          <w:sz w:val="24"/>
          <w:szCs w:val="24"/>
        </w:rPr>
        <w:t>i</w:t>
      </w:r>
      <w:r w:rsidR="003126CE" w:rsidRPr="00D20C2C">
        <w:rPr>
          <w:rFonts w:ascii="Century" w:eastAsia="Times New Roman" w:hAnsi="Century" w:cs="Arial"/>
          <w:bCs/>
          <w:sz w:val="24"/>
          <w:szCs w:val="24"/>
        </w:rPr>
        <w:t>mpuestos cedidos total o parcialmente por el Estado, recargos sobre impuestos estatales y otras participaciones en los ingresos del Estado</w:t>
      </w:r>
    </w:p>
    <w:p w:rsidR="00D20C2C" w:rsidRPr="00D20C2C" w:rsidRDefault="001D4ADE" w:rsidP="00653CAA">
      <w:pPr>
        <w:pStyle w:val="Prrafodelista"/>
        <w:numPr>
          <w:ilvl w:val="0"/>
          <w:numId w:val="16"/>
        </w:numPr>
        <w:tabs>
          <w:tab w:val="left" w:pos="709"/>
        </w:tabs>
        <w:spacing w:after="240" w:line="360" w:lineRule="auto"/>
        <w:ind w:left="426" w:firstLine="0"/>
        <w:jc w:val="both"/>
        <w:rPr>
          <w:rFonts w:ascii="Century" w:eastAsia="Times New Roman" w:hAnsi="Century" w:cs="Arial"/>
          <w:bCs/>
          <w:sz w:val="24"/>
          <w:szCs w:val="24"/>
        </w:rPr>
      </w:pPr>
      <w:r>
        <w:rPr>
          <w:rFonts w:ascii="Century" w:eastAsia="Times New Roman" w:hAnsi="Century" w:cs="Arial"/>
          <w:bCs/>
          <w:sz w:val="24"/>
          <w:szCs w:val="24"/>
        </w:rPr>
        <w:t>s</w:t>
      </w:r>
      <w:r w:rsidR="003126CE" w:rsidRPr="00D20C2C">
        <w:rPr>
          <w:rFonts w:ascii="Century" w:eastAsia="Times New Roman" w:hAnsi="Century" w:cs="Arial"/>
          <w:bCs/>
          <w:sz w:val="24"/>
          <w:szCs w:val="24"/>
        </w:rPr>
        <w:t>us propios impuestos, tasas y contribuciones especiales</w:t>
      </w:r>
    </w:p>
    <w:p w:rsidR="00D20C2C" w:rsidRPr="00D20C2C" w:rsidRDefault="001D4ADE" w:rsidP="00653CAA">
      <w:pPr>
        <w:pStyle w:val="Prrafodelista"/>
        <w:numPr>
          <w:ilvl w:val="0"/>
          <w:numId w:val="16"/>
        </w:numPr>
        <w:tabs>
          <w:tab w:val="left" w:pos="709"/>
        </w:tabs>
        <w:spacing w:after="240" w:line="360" w:lineRule="auto"/>
        <w:ind w:left="709" w:hanging="283"/>
        <w:jc w:val="both"/>
        <w:rPr>
          <w:rFonts w:ascii="Century" w:eastAsia="Times New Roman" w:hAnsi="Century" w:cs="Arial"/>
          <w:bCs/>
          <w:sz w:val="24"/>
          <w:szCs w:val="24"/>
        </w:rPr>
      </w:pPr>
      <w:r>
        <w:rPr>
          <w:rFonts w:ascii="Century" w:eastAsia="Times New Roman" w:hAnsi="Century" w:cs="Arial"/>
          <w:bCs/>
          <w:sz w:val="24"/>
          <w:szCs w:val="24"/>
        </w:rPr>
        <w:t>t</w:t>
      </w:r>
      <w:r w:rsidR="003126CE" w:rsidRPr="00D20C2C">
        <w:rPr>
          <w:rFonts w:ascii="Century" w:eastAsia="Times New Roman" w:hAnsi="Century" w:cs="Arial"/>
          <w:bCs/>
          <w:sz w:val="24"/>
          <w:szCs w:val="24"/>
        </w:rPr>
        <w:t>ransferencias de un Fondo de Compensación interterritorial y otras asignaciones con cargo a los Presupuestos Generales del Estado</w:t>
      </w:r>
    </w:p>
    <w:p w:rsidR="00FA30AD" w:rsidRDefault="001D4ADE" w:rsidP="00653CAA">
      <w:pPr>
        <w:pStyle w:val="Prrafodelista"/>
        <w:numPr>
          <w:ilvl w:val="0"/>
          <w:numId w:val="16"/>
        </w:numPr>
        <w:tabs>
          <w:tab w:val="left" w:pos="709"/>
        </w:tabs>
        <w:spacing w:after="240" w:line="360" w:lineRule="auto"/>
        <w:ind w:left="709" w:hanging="283"/>
        <w:jc w:val="both"/>
        <w:rPr>
          <w:rFonts w:ascii="Century" w:eastAsia="Times New Roman" w:hAnsi="Century" w:cs="Arial"/>
          <w:bCs/>
          <w:sz w:val="24"/>
          <w:szCs w:val="24"/>
        </w:rPr>
      </w:pPr>
      <w:r>
        <w:rPr>
          <w:rFonts w:ascii="Century" w:eastAsia="Times New Roman" w:hAnsi="Century" w:cs="Arial"/>
          <w:bCs/>
          <w:sz w:val="24"/>
          <w:szCs w:val="24"/>
        </w:rPr>
        <w:t>r</w:t>
      </w:r>
      <w:r w:rsidR="003126CE" w:rsidRPr="00D20C2C">
        <w:rPr>
          <w:rFonts w:ascii="Century" w:eastAsia="Times New Roman" w:hAnsi="Century" w:cs="Arial"/>
          <w:bCs/>
          <w:sz w:val="24"/>
          <w:szCs w:val="24"/>
        </w:rPr>
        <w:t xml:space="preserve">endimientos procedentes de su patrimonio e ingresos de derecho privado </w:t>
      </w:r>
    </w:p>
    <w:p w:rsidR="00D20C2C" w:rsidRPr="007E6BC0" w:rsidRDefault="001D4ADE" w:rsidP="00653CAA">
      <w:pPr>
        <w:pStyle w:val="Prrafodelista"/>
        <w:numPr>
          <w:ilvl w:val="0"/>
          <w:numId w:val="16"/>
        </w:numPr>
        <w:tabs>
          <w:tab w:val="left" w:pos="709"/>
        </w:tabs>
        <w:spacing w:after="240" w:line="360" w:lineRule="auto"/>
        <w:ind w:left="426" w:firstLine="0"/>
        <w:jc w:val="both"/>
        <w:rPr>
          <w:rFonts w:ascii="Century" w:eastAsia="Times New Roman" w:hAnsi="Century" w:cs="Arial"/>
          <w:bCs/>
          <w:sz w:val="24"/>
          <w:szCs w:val="24"/>
        </w:rPr>
      </w:pPr>
      <w:r>
        <w:rPr>
          <w:rFonts w:ascii="Century" w:eastAsia="Times New Roman" w:hAnsi="Century" w:cs="Arial"/>
          <w:bCs/>
          <w:sz w:val="24"/>
          <w:szCs w:val="24"/>
        </w:rPr>
        <w:t>e</w:t>
      </w:r>
      <w:r w:rsidR="003126CE" w:rsidRPr="00D20C2C">
        <w:rPr>
          <w:rFonts w:ascii="Century" w:eastAsia="Times New Roman" w:hAnsi="Century" w:cs="Arial"/>
          <w:bCs/>
          <w:sz w:val="24"/>
          <w:szCs w:val="24"/>
        </w:rPr>
        <w:t>l product</w:t>
      </w:r>
      <w:r>
        <w:rPr>
          <w:rFonts w:ascii="Century" w:eastAsia="Times New Roman" w:hAnsi="Century" w:cs="Arial"/>
          <w:bCs/>
          <w:sz w:val="24"/>
          <w:szCs w:val="24"/>
        </w:rPr>
        <w:t>o de las operaciones de crédito</w:t>
      </w:r>
      <w:r w:rsidR="003126CE" w:rsidRPr="00D20C2C">
        <w:rPr>
          <w:rFonts w:ascii="Century" w:eastAsia="Times New Roman" w:hAnsi="Century" w:cs="Arial"/>
          <w:bCs/>
          <w:sz w:val="24"/>
          <w:szCs w:val="24"/>
        </w:rPr>
        <w:t xml:space="preserve"> </w:t>
      </w:r>
    </w:p>
    <w:p w:rsidR="003126CE" w:rsidRPr="002C13F3" w:rsidRDefault="003126CE" w:rsidP="002D11BC">
      <w:pPr>
        <w:spacing w:after="240" w:line="360" w:lineRule="auto"/>
        <w:jc w:val="both"/>
        <w:rPr>
          <w:rFonts w:ascii="Century" w:eastAsia="Times New Roman" w:hAnsi="Century" w:cs="Arial"/>
          <w:bCs/>
          <w:sz w:val="24"/>
          <w:szCs w:val="24"/>
        </w:rPr>
      </w:pPr>
      <w:r w:rsidRPr="002C13F3">
        <w:rPr>
          <w:rFonts w:ascii="Century" w:eastAsia="Times New Roman" w:hAnsi="Century" w:cs="Arial"/>
          <w:bCs/>
          <w:sz w:val="24"/>
          <w:szCs w:val="24"/>
        </w:rPr>
        <w:tab/>
      </w:r>
      <w:r w:rsidR="00FA30AD">
        <w:rPr>
          <w:rFonts w:ascii="Century" w:eastAsia="Times New Roman" w:hAnsi="Century" w:cs="Arial"/>
          <w:bCs/>
          <w:sz w:val="24"/>
          <w:szCs w:val="24"/>
        </w:rPr>
        <w:t xml:space="preserve">Centrándonos en </w:t>
      </w:r>
      <w:r w:rsidRPr="002C13F3">
        <w:rPr>
          <w:rFonts w:ascii="Century" w:eastAsia="Times New Roman" w:hAnsi="Century" w:cs="Arial"/>
          <w:bCs/>
          <w:sz w:val="24"/>
          <w:szCs w:val="24"/>
        </w:rPr>
        <w:t>los recursos tributarios</w:t>
      </w:r>
      <w:r w:rsidRPr="00514069">
        <w:rPr>
          <w:rFonts w:eastAsia="Times New Roman" w:cstheme="minorHAnsi"/>
          <w:bCs/>
          <w:sz w:val="24"/>
          <w:szCs w:val="24"/>
        </w:rPr>
        <w:t>:</w:t>
      </w:r>
      <w:r w:rsidRPr="002C13F3">
        <w:rPr>
          <w:rFonts w:ascii="Century" w:eastAsia="Times New Roman" w:hAnsi="Century" w:cs="Arial"/>
          <w:bCs/>
          <w:sz w:val="24"/>
          <w:szCs w:val="24"/>
        </w:rPr>
        <w:t xml:space="preserve"> tributos propios y</w:t>
      </w:r>
      <w:r w:rsidR="00FA30AD">
        <w:rPr>
          <w:rFonts w:ascii="Century" w:eastAsia="Times New Roman" w:hAnsi="Century" w:cs="Arial"/>
          <w:bCs/>
          <w:sz w:val="24"/>
          <w:szCs w:val="24"/>
        </w:rPr>
        <w:t xml:space="preserve"> tributos cedidos, debemos destacar una idea. Y es que, con respecto a los primeros, no debemos olvidar que,</w:t>
      </w:r>
      <w:r w:rsidRPr="002C13F3">
        <w:rPr>
          <w:rFonts w:ascii="Century" w:eastAsia="Times New Roman" w:hAnsi="Century" w:cs="Arial"/>
          <w:bCs/>
          <w:sz w:val="24"/>
          <w:szCs w:val="24"/>
        </w:rPr>
        <w:t xml:space="preserve"> el art. 133.1 de la CE y el art. 4.2 de la </w:t>
      </w:r>
      <w:r w:rsidR="007E6BC0">
        <w:rPr>
          <w:rFonts w:ascii="Century" w:eastAsia="Times New Roman" w:hAnsi="Century" w:cs="Arial"/>
          <w:bCs/>
          <w:sz w:val="24"/>
          <w:szCs w:val="24"/>
        </w:rPr>
        <w:t>Ley 58/2003, de 17 de diciembre, General Tributaria (</w:t>
      </w:r>
      <w:r w:rsidRPr="002C13F3">
        <w:rPr>
          <w:rFonts w:ascii="Century" w:eastAsia="Times New Roman" w:hAnsi="Century" w:cs="Arial"/>
          <w:bCs/>
          <w:sz w:val="24"/>
          <w:szCs w:val="24"/>
        </w:rPr>
        <w:t>LGT</w:t>
      </w:r>
      <w:r w:rsidR="007E6BC0">
        <w:rPr>
          <w:rFonts w:ascii="Century" w:eastAsia="Times New Roman" w:hAnsi="Century" w:cs="Arial"/>
          <w:bCs/>
          <w:sz w:val="24"/>
          <w:szCs w:val="24"/>
        </w:rPr>
        <w:t>)</w:t>
      </w:r>
      <w:r w:rsidRPr="002C13F3">
        <w:rPr>
          <w:rFonts w:ascii="Century" w:eastAsia="Times New Roman" w:hAnsi="Century" w:cs="Arial"/>
          <w:bCs/>
          <w:sz w:val="24"/>
          <w:szCs w:val="24"/>
        </w:rPr>
        <w:t xml:space="preserve"> establecen que</w:t>
      </w:r>
      <w:r w:rsidR="00FA30AD" w:rsidRPr="00FA30AD">
        <w:rPr>
          <w:rFonts w:eastAsia="Times New Roman" w:cstheme="minorHAnsi"/>
          <w:bCs/>
          <w:sz w:val="24"/>
          <w:szCs w:val="24"/>
        </w:rPr>
        <w:t>:</w:t>
      </w:r>
      <w:r w:rsidRPr="002C13F3">
        <w:rPr>
          <w:rFonts w:ascii="Century" w:eastAsia="Times New Roman" w:hAnsi="Century" w:cs="Arial"/>
          <w:bCs/>
          <w:sz w:val="24"/>
          <w:szCs w:val="24"/>
        </w:rPr>
        <w:t xml:space="preserve"> “la potestad tributaria para establecer los tributos corresponde exclusivamente al Estado, mediante ley”. No obstante, el art. 133.2 de la CE, art 4.2 de la LGT y art. 6 de la LOFCA</w:t>
      </w:r>
      <w:r w:rsidR="001D4ADE">
        <w:rPr>
          <w:rFonts w:ascii="Century" w:eastAsia="Times New Roman" w:hAnsi="Century" w:cs="Arial"/>
          <w:bCs/>
          <w:sz w:val="24"/>
          <w:szCs w:val="24"/>
        </w:rPr>
        <w:t>,</w:t>
      </w:r>
      <w:r w:rsidRPr="002C13F3">
        <w:rPr>
          <w:rFonts w:ascii="Century" w:eastAsia="Times New Roman" w:hAnsi="Century" w:cs="Arial"/>
          <w:bCs/>
          <w:sz w:val="24"/>
          <w:szCs w:val="24"/>
        </w:rPr>
        <w:t xml:space="preserve"> reconocen que las CCAA podrán establecer y exigir tributos de acuerdo con la Constitución y las leyes</w:t>
      </w:r>
      <w:r w:rsidR="00502F78" w:rsidRPr="002C13F3">
        <w:rPr>
          <w:rFonts w:ascii="Century" w:eastAsia="Times New Roman" w:hAnsi="Century" w:cs="Arial"/>
          <w:bCs/>
          <w:sz w:val="24"/>
          <w:szCs w:val="24"/>
        </w:rPr>
        <w:t xml:space="preserve">. </w:t>
      </w:r>
      <w:r w:rsidR="00FA30AD">
        <w:rPr>
          <w:rFonts w:ascii="Century" w:eastAsia="Times New Roman" w:hAnsi="Century" w:cs="Arial"/>
          <w:bCs/>
          <w:sz w:val="24"/>
          <w:szCs w:val="24"/>
        </w:rPr>
        <w:t>Así</w:t>
      </w:r>
      <w:r w:rsidR="00502F78" w:rsidRPr="002C13F3">
        <w:rPr>
          <w:rFonts w:ascii="Century" w:eastAsia="Times New Roman" w:hAnsi="Century" w:cs="Arial"/>
          <w:bCs/>
          <w:sz w:val="24"/>
          <w:szCs w:val="24"/>
        </w:rPr>
        <w:t>, las CCAA pueden establecer esta potestad tributaria pero delimitando sus actuaciones, con el fin de que no incidan en el sistema tributario estatal ya establecido</w:t>
      </w:r>
      <w:r w:rsidR="00FA30AD">
        <w:rPr>
          <w:rFonts w:ascii="Century" w:eastAsia="Times New Roman" w:hAnsi="Century" w:cs="Arial"/>
          <w:bCs/>
          <w:sz w:val="24"/>
          <w:szCs w:val="24"/>
        </w:rPr>
        <w:t>,</w:t>
      </w:r>
      <w:r w:rsidR="00502F78" w:rsidRPr="002C13F3">
        <w:rPr>
          <w:rFonts w:ascii="Century" w:eastAsia="Times New Roman" w:hAnsi="Century" w:cs="Arial"/>
          <w:bCs/>
          <w:sz w:val="24"/>
          <w:szCs w:val="24"/>
        </w:rPr>
        <w:t xml:space="preserve"> ni originen discrepancias entre la</w:t>
      </w:r>
      <w:r w:rsidR="00FA30AD">
        <w:rPr>
          <w:rFonts w:ascii="Century" w:eastAsia="Times New Roman" w:hAnsi="Century" w:cs="Arial"/>
          <w:bCs/>
          <w:sz w:val="24"/>
          <w:szCs w:val="24"/>
        </w:rPr>
        <w:t>s distintas CCAA. Los</w:t>
      </w:r>
      <w:r w:rsidR="00502F78" w:rsidRPr="002C13F3">
        <w:rPr>
          <w:rFonts w:ascii="Century" w:eastAsia="Times New Roman" w:hAnsi="Century" w:cs="Arial"/>
          <w:bCs/>
          <w:sz w:val="24"/>
          <w:szCs w:val="24"/>
        </w:rPr>
        <w:t xml:space="preserve"> límites </w:t>
      </w:r>
      <w:r w:rsidR="00327490" w:rsidRPr="002C13F3">
        <w:rPr>
          <w:rFonts w:ascii="Century" w:eastAsia="Times New Roman" w:hAnsi="Century" w:cs="Arial"/>
          <w:bCs/>
          <w:sz w:val="24"/>
          <w:szCs w:val="24"/>
        </w:rPr>
        <w:t xml:space="preserve">fijados </w:t>
      </w:r>
      <w:r w:rsidR="00502F78" w:rsidRPr="002C13F3">
        <w:rPr>
          <w:rFonts w:ascii="Century" w:eastAsia="Times New Roman" w:hAnsi="Century" w:cs="Arial"/>
          <w:bCs/>
          <w:sz w:val="24"/>
          <w:szCs w:val="24"/>
        </w:rPr>
        <w:t xml:space="preserve">no </w:t>
      </w:r>
      <w:r w:rsidR="00FA30AD">
        <w:rPr>
          <w:rFonts w:ascii="Century" w:eastAsia="Times New Roman" w:hAnsi="Century" w:cs="Arial"/>
          <w:bCs/>
          <w:sz w:val="24"/>
          <w:szCs w:val="24"/>
        </w:rPr>
        <w:t xml:space="preserve">podrán, sin embargo, </w:t>
      </w:r>
      <w:r w:rsidR="00502F78" w:rsidRPr="002C13F3">
        <w:rPr>
          <w:rFonts w:ascii="Century" w:eastAsia="Times New Roman" w:hAnsi="Century" w:cs="Arial"/>
          <w:bCs/>
          <w:sz w:val="24"/>
          <w:szCs w:val="24"/>
        </w:rPr>
        <w:t>reducir el ejercicio de la autonomía de las mismas hasta anularlo,</w:t>
      </w:r>
      <w:r w:rsidR="00FA30AD">
        <w:rPr>
          <w:rFonts w:ascii="Century" w:eastAsia="Times New Roman" w:hAnsi="Century" w:cs="Arial"/>
          <w:bCs/>
          <w:sz w:val="24"/>
          <w:szCs w:val="24"/>
        </w:rPr>
        <w:t xml:space="preserve"> lo que podría </w:t>
      </w:r>
      <w:r w:rsidR="00502F78" w:rsidRPr="002C13F3">
        <w:rPr>
          <w:rFonts w:ascii="Century" w:eastAsia="Times New Roman" w:hAnsi="Century" w:cs="Arial"/>
          <w:bCs/>
          <w:sz w:val="24"/>
          <w:szCs w:val="24"/>
        </w:rPr>
        <w:t>suponer una vulneración de dicha autonomía</w:t>
      </w:r>
      <w:r w:rsidRPr="002C13F3">
        <w:rPr>
          <w:rStyle w:val="Refdenotaalpie"/>
          <w:rFonts w:ascii="Century" w:eastAsia="Times New Roman" w:hAnsi="Century" w:cs="Arial"/>
          <w:bCs/>
          <w:sz w:val="24"/>
          <w:szCs w:val="24"/>
        </w:rPr>
        <w:footnoteReference w:id="39"/>
      </w:r>
      <w:r w:rsidRPr="002C13F3">
        <w:rPr>
          <w:rFonts w:ascii="Century" w:eastAsia="Times New Roman" w:hAnsi="Century" w:cs="Arial"/>
          <w:bCs/>
          <w:sz w:val="24"/>
          <w:szCs w:val="24"/>
        </w:rPr>
        <w:t>.</w:t>
      </w:r>
    </w:p>
    <w:p w:rsidR="00502F78" w:rsidRPr="002C13F3" w:rsidRDefault="00502F78" w:rsidP="002D11BC">
      <w:pPr>
        <w:spacing w:after="240" w:line="360" w:lineRule="auto"/>
        <w:jc w:val="both"/>
        <w:rPr>
          <w:rFonts w:ascii="Century" w:eastAsia="Times New Roman" w:hAnsi="Century" w:cs="Arial"/>
          <w:bCs/>
          <w:sz w:val="24"/>
          <w:szCs w:val="24"/>
        </w:rPr>
      </w:pPr>
      <w:r w:rsidRPr="002C13F3">
        <w:rPr>
          <w:rFonts w:ascii="Century" w:eastAsia="Times New Roman" w:hAnsi="Century" w:cs="Arial"/>
          <w:bCs/>
          <w:sz w:val="24"/>
          <w:szCs w:val="24"/>
        </w:rPr>
        <w:tab/>
      </w:r>
      <w:r w:rsidR="00327490" w:rsidRPr="002C13F3">
        <w:rPr>
          <w:rFonts w:ascii="Century" w:eastAsia="Times New Roman" w:hAnsi="Century" w:cs="Arial"/>
          <w:bCs/>
          <w:sz w:val="24"/>
          <w:szCs w:val="24"/>
        </w:rPr>
        <w:t>En efecto,</w:t>
      </w:r>
      <w:r w:rsidRPr="002C13F3">
        <w:rPr>
          <w:rFonts w:ascii="Century" w:eastAsia="Times New Roman" w:hAnsi="Century" w:cs="Arial"/>
          <w:bCs/>
          <w:sz w:val="24"/>
          <w:szCs w:val="24"/>
        </w:rPr>
        <w:t xml:space="preserve"> se fijan unas limitaciones derivadas de la Constitución, del ordenamiento comunitario y de los Tratados internacionales. </w:t>
      </w:r>
      <w:r w:rsidR="008515A6">
        <w:rPr>
          <w:rFonts w:ascii="Century" w:eastAsia="Times New Roman" w:hAnsi="Century" w:cs="Arial"/>
          <w:bCs/>
          <w:sz w:val="24"/>
          <w:szCs w:val="24"/>
        </w:rPr>
        <w:t>E</w:t>
      </w:r>
      <w:r w:rsidRPr="002C13F3">
        <w:rPr>
          <w:rFonts w:ascii="Century" w:eastAsia="Times New Roman" w:hAnsi="Century" w:cs="Arial"/>
          <w:bCs/>
          <w:sz w:val="24"/>
          <w:szCs w:val="24"/>
        </w:rPr>
        <w:t>l art. 157.2 de la CE delimita negativamente la potestad tributaria de las CCAA, ya que dispone que</w:t>
      </w:r>
      <w:r w:rsidR="00FA30AD">
        <w:rPr>
          <w:rFonts w:eastAsia="Times New Roman" w:cstheme="minorHAnsi"/>
          <w:bCs/>
          <w:sz w:val="24"/>
          <w:szCs w:val="24"/>
        </w:rPr>
        <w:t>:</w:t>
      </w:r>
      <w:r w:rsidRPr="002C13F3">
        <w:rPr>
          <w:rFonts w:ascii="Century" w:eastAsia="Times New Roman" w:hAnsi="Century" w:cs="Arial"/>
          <w:bCs/>
          <w:sz w:val="24"/>
          <w:szCs w:val="24"/>
        </w:rPr>
        <w:t xml:space="preserve"> “no podrán en ningún caso adoptar medidas tributarias sobre </w:t>
      </w:r>
      <w:r w:rsidRPr="002C13F3">
        <w:rPr>
          <w:rFonts w:ascii="Century" w:eastAsia="Times New Roman" w:hAnsi="Century" w:cs="Arial"/>
          <w:bCs/>
          <w:sz w:val="24"/>
          <w:szCs w:val="24"/>
        </w:rPr>
        <w:lastRenderedPageBreak/>
        <w:t>bienes situados fuera de su territorio o que supongan obstáculo para la libre circulación de mercancías o servicios”. El art. 139.2 de la CE establece</w:t>
      </w:r>
      <w:r w:rsidR="00FA30AD">
        <w:rPr>
          <w:rFonts w:ascii="Century" w:eastAsia="Times New Roman" w:hAnsi="Century" w:cs="Arial"/>
          <w:bCs/>
          <w:sz w:val="24"/>
          <w:szCs w:val="24"/>
        </w:rPr>
        <w:t xml:space="preserve"> por su parte</w:t>
      </w:r>
      <w:r w:rsidRPr="002C13F3">
        <w:rPr>
          <w:rFonts w:ascii="Century" w:eastAsia="Times New Roman" w:hAnsi="Century" w:cs="Arial"/>
          <w:bCs/>
          <w:sz w:val="24"/>
          <w:szCs w:val="24"/>
        </w:rPr>
        <w:t xml:space="preserve"> que</w:t>
      </w:r>
      <w:r w:rsidR="00FA30AD" w:rsidRPr="008515A6">
        <w:rPr>
          <w:rFonts w:eastAsia="Times New Roman" w:cstheme="minorHAnsi"/>
          <w:bCs/>
          <w:sz w:val="24"/>
          <w:szCs w:val="24"/>
        </w:rPr>
        <w:t>:</w:t>
      </w:r>
      <w:r w:rsidR="00FA30AD">
        <w:rPr>
          <w:rFonts w:ascii="Century" w:eastAsia="Times New Roman" w:hAnsi="Century" w:cs="Arial"/>
          <w:bCs/>
          <w:sz w:val="24"/>
          <w:szCs w:val="24"/>
        </w:rPr>
        <w:t xml:space="preserve"> “</w:t>
      </w:r>
      <w:r w:rsidRPr="002C13F3">
        <w:rPr>
          <w:rFonts w:ascii="Century" w:eastAsia="Times New Roman" w:hAnsi="Century" w:cs="Arial"/>
          <w:bCs/>
          <w:sz w:val="24"/>
          <w:szCs w:val="24"/>
        </w:rPr>
        <w:t>ninguna autoridad podrá adoptar medidas que, directa o indirectamente, obstaculicen la libertad de circulación y establecimiento de las personas y la libre circulación de bienes en todo el territorio nacional</w:t>
      </w:r>
      <w:r w:rsidR="00FA30AD">
        <w:rPr>
          <w:rFonts w:ascii="Century" w:eastAsia="Times New Roman" w:hAnsi="Century" w:cs="Arial"/>
          <w:bCs/>
          <w:sz w:val="24"/>
          <w:szCs w:val="24"/>
        </w:rPr>
        <w:t>”</w:t>
      </w:r>
      <w:r w:rsidRPr="002C13F3">
        <w:rPr>
          <w:rFonts w:ascii="Century" w:eastAsia="Times New Roman" w:hAnsi="Century" w:cs="Arial"/>
          <w:bCs/>
          <w:sz w:val="24"/>
          <w:szCs w:val="24"/>
        </w:rPr>
        <w:t>. Asimismo, el art. 9 de la LOFCA regula lo establecido en estos dos preceptos, haciendo respetar el principio de territorialidad y de libre circulación. Con respecto a los territorios forale</w:t>
      </w:r>
      <w:r w:rsidR="00574C0A">
        <w:rPr>
          <w:rFonts w:ascii="Century" w:eastAsia="Times New Roman" w:hAnsi="Century" w:cs="Arial"/>
          <w:bCs/>
          <w:sz w:val="24"/>
          <w:szCs w:val="24"/>
        </w:rPr>
        <w:t>s del País Vasco y Navarra, la Disposición Adicional P</w:t>
      </w:r>
      <w:r w:rsidRPr="002C13F3">
        <w:rPr>
          <w:rFonts w:ascii="Century" w:eastAsia="Times New Roman" w:hAnsi="Century" w:cs="Arial"/>
          <w:bCs/>
          <w:sz w:val="24"/>
          <w:szCs w:val="24"/>
        </w:rPr>
        <w:t xml:space="preserve">rimera de la CE </w:t>
      </w:r>
      <w:r w:rsidR="00574C0A">
        <w:rPr>
          <w:rFonts w:ascii="Century" w:eastAsia="Times New Roman" w:hAnsi="Century" w:cs="Arial"/>
          <w:bCs/>
          <w:sz w:val="24"/>
          <w:szCs w:val="24"/>
        </w:rPr>
        <w:t>regula</w:t>
      </w:r>
      <w:r w:rsidRPr="002C13F3">
        <w:rPr>
          <w:rFonts w:ascii="Century" w:eastAsia="Times New Roman" w:hAnsi="Century" w:cs="Arial"/>
          <w:bCs/>
          <w:sz w:val="24"/>
          <w:szCs w:val="24"/>
        </w:rPr>
        <w:t xml:space="preserve"> el respeto de los derechos históricos forales que </w:t>
      </w:r>
      <w:r w:rsidR="00675BA2">
        <w:rPr>
          <w:rFonts w:ascii="Century" w:eastAsia="Times New Roman" w:hAnsi="Century" w:cs="Arial"/>
          <w:bCs/>
          <w:sz w:val="24"/>
          <w:szCs w:val="24"/>
        </w:rPr>
        <w:t>considera</w:t>
      </w:r>
      <w:r w:rsidRPr="002C13F3">
        <w:rPr>
          <w:rFonts w:ascii="Century" w:eastAsia="Times New Roman" w:hAnsi="Century" w:cs="Arial"/>
          <w:bCs/>
          <w:sz w:val="24"/>
          <w:szCs w:val="24"/>
        </w:rPr>
        <w:t xml:space="preserve"> el reconocimiento de la potestad tributaria normativa que ejercen sus órganos de autogobierno en dichos territorios.</w:t>
      </w:r>
    </w:p>
    <w:p w:rsidR="00502F78" w:rsidRPr="002C13F3" w:rsidRDefault="00502F78" w:rsidP="002D11BC">
      <w:pPr>
        <w:spacing w:after="240" w:line="360" w:lineRule="auto"/>
        <w:jc w:val="both"/>
        <w:rPr>
          <w:rFonts w:ascii="Century" w:eastAsia="Times New Roman" w:hAnsi="Century" w:cs="Arial"/>
          <w:bCs/>
          <w:sz w:val="24"/>
          <w:szCs w:val="24"/>
        </w:rPr>
      </w:pPr>
      <w:r w:rsidRPr="002C13F3">
        <w:rPr>
          <w:rFonts w:ascii="Century" w:eastAsia="Times New Roman" w:hAnsi="Century" w:cs="Arial"/>
          <w:bCs/>
          <w:sz w:val="24"/>
          <w:szCs w:val="24"/>
        </w:rPr>
        <w:tab/>
        <w:t>Además</w:t>
      </w:r>
      <w:r w:rsidR="00FA30AD">
        <w:rPr>
          <w:rFonts w:ascii="Century" w:eastAsia="Times New Roman" w:hAnsi="Century" w:cs="Arial"/>
          <w:bCs/>
          <w:sz w:val="24"/>
          <w:szCs w:val="24"/>
        </w:rPr>
        <w:t xml:space="preserve"> de lo referido</w:t>
      </w:r>
      <w:r w:rsidRPr="002C13F3">
        <w:rPr>
          <w:rFonts w:ascii="Century" w:eastAsia="Times New Roman" w:hAnsi="Century" w:cs="Arial"/>
          <w:bCs/>
          <w:sz w:val="24"/>
          <w:szCs w:val="24"/>
        </w:rPr>
        <w:t>, deben respetar</w:t>
      </w:r>
      <w:r w:rsidR="00FA30AD">
        <w:rPr>
          <w:rFonts w:ascii="Century" w:eastAsia="Times New Roman" w:hAnsi="Century" w:cs="Arial"/>
          <w:bCs/>
          <w:sz w:val="24"/>
          <w:szCs w:val="24"/>
        </w:rPr>
        <w:t>se</w:t>
      </w:r>
      <w:r w:rsidRPr="002C13F3">
        <w:rPr>
          <w:rFonts w:ascii="Century" w:eastAsia="Times New Roman" w:hAnsi="Century" w:cs="Arial"/>
          <w:bCs/>
          <w:sz w:val="24"/>
          <w:szCs w:val="24"/>
        </w:rPr>
        <w:t xml:space="preserve"> los principios tributarios materiales y de reserva de ley regulados en el art. 31 de la CE y</w:t>
      </w:r>
      <w:r w:rsidR="00327490" w:rsidRPr="002C13F3">
        <w:rPr>
          <w:rFonts w:ascii="Century" w:eastAsia="Times New Roman" w:hAnsi="Century" w:cs="Arial"/>
          <w:bCs/>
          <w:sz w:val="24"/>
          <w:szCs w:val="24"/>
        </w:rPr>
        <w:t>,</w:t>
      </w:r>
      <w:r w:rsidRPr="002C13F3">
        <w:rPr>
          <w:rFonts w:ascii="Century" w:eastAsia="Times New Roman" w:hAnsi="Century" w:cs="Arial"/>
          <w:bCs/>
          <w:sz w:val="24"/>
          <w:szCs w:val="24"/>
        </w:rPr>
        <w:t xml:space="preserve"> por otro lado, es necesario considerar las normas establecidas para alcanzar la coordinación del ejercicio del poder tributario por los distintos entes territoriales, coordinación que puede ser entre las distintas CCAA o entre éstas con el Estado y con las entidades locales. Esta última se recoge en el art. 6 de la LOFCA y </w:t>
      </w:r>
      <w:r w:rsidR="00574C0A">
        <w:rPr>
          <w:rFonts w:ascii="Century" w:eastAsia="Times New Roman" w:hAnsi="Century" w:cs="Arial"/>
          <w:bCs/>
          <w:sz w:val="24"/>
          <w:szCs w:val="24"/>
        </w:rPr>
        <w:t>regula</w:t>
      </w:r>
      <w:r w:rsidRPr="002C13F3">
        <w:rPr>
          <w:rFonts w:ascii="Century" w:eastAsia="Times New Roman" w:hAnsi="Century" w:cs="Arial"/>
          <w:bCs/>
          <w:sz w:val="24"/>
          <w:szCs w:val="24"/>
        </w:rPr>
        <w:t xml:space="preserve"> que los tributos que establezcan las CCAA no podrán recaer sobre hechos imponibles </w:t>
      </w:r>
      <w:r w:rsidR="00574C0A">
        <w:rPr>
          <w:rFonts w:ascii="Century" w:eastAsia="Times New Roman" w:hAnsi="Century" w:cs="Arial"/>
          <w:bCs/>
          <w:sz w:val="24"/>
          <w:szCs w:val="24"/>
        </w:rPr>
        <w:t xml:space="preserve">ya </w:t>
      </w:r>
      <w:r w:rsidRPr="002C13F3">
        <w:rPr>
          <w:rFonts w:ascii="Century" w:eastAsia="Times New Roman" w:hAnsi="Century" w:cs="Arial"/>
          <w:bCs/>
          <w:sz w:val="24"/>
          <w:szCs w:val="24"/>
        </w:rPr>
        <w:t xml:space="preserve">gravados por el Estado o por los tributos locales. </w:t>
      </w:r>
      <w:r w:rsidR="00574C0A">
        <w:rPr>
          <w:rFonts w:ascii="Century" w:eastAsia="Times New Roman" w:hAnsi="Century" w:cs="Arial"/>
          <w:bCs/>
          <w:sz w:val="24"/>
          <w:szCs w:val="24"/>
        </w:rPr>
        <w:t>Así</w:t>
      </w:r>
      <w:r w:rsidRPr="002C13F3">
        <w:rPr>
          <w:rFonts w:ascii="Century" w:eastAsia="Times New Roman" w:hAnsi="Century" w:cs="Arial"/>
          <w:bCs/>
          <w:sz w:val="24"/>
          <w:szCs w:val="24"/>
        </w:rPr>
        <w:t xml:space="preserve">, la </w:t>
      </w:r>
      <w:r w:rsidR="007E6BC0" w:rsidRPr="001D4ADE">
        <w:rPr>
          <w:rFonts w:ascii="Century" w:eastAsia="Times New Roman" w:hAnsi="Century" w:cs="Arial"/>
          <w:bCs/>
          <w:sz w:val="24"/>
          <w:szCs w:val="24"/>
        </w:rPr>
        <w:t xml:space="preserve">Sentencia del Tribunal </w:t>
      </w:r>
      <w:r w:rsidR="001D4ADE" w:rsidRPr="001D4ADE">
        <w:rPr>
          <w:rFonts w:ascii="Century" w:eastAsia="Times New Roman" w:hAnsi="Century" w:cs="Arial"/>
          <w:bCs/>
          <w:sz w:val="24"/>
          <w:szCs w:val="24"/>
        </w:rPr>
        <w:t>Constitucional</w:t>
      </w:r>
      <w:r w:rsidR="00D4689E">
        <w:rPr>
          <w:rFonts w:ascii="Century" w:eastAsia="Times New Roman" w:hAnsi="Century" w:cs="Arial"/>
          <w:bCs/>
          <w:sz w:val="24"/>
          <w:szCs w:val="24"/>
        </w:rPr>
        <w:t xml:space="preserve"> (STC)</w:t>
      </w:r>
      <w:r w:rsidR="001D4ADE">
        <w:rPr>
          <w:rFonts w:ascii="Century" w:eastAsia="Times New Roman" w:hAnsi="Century" w:cs="Arial"/>
          <w:bCs/>
          <w:color w:val="00B0F0"/>
          <w:sz w:val="24"/>
          <w:szCs w:val="24"/>
        </w:rPr>
        <w:t xml:space="preserve"> </w:t>
      </w:r>
      <w:r w:rsidRPr="002C13F3">
        <w:rPr>
          <w:rFonts w:ascii="Century" w:eastAsia="Times New Roman" w:hAnsi="Century" w:cs="Arial"/>
          <w:bCs/>
          <w:sz w:val="24"/>
          <w:szCs w:val="24"/>
        </w:rPr>
        <w:t>30/2015, de 19 de febrero, ha declarado la inconstitucionalidad y nulidad de</w:t>
      </w:r>
      <w:r w:rsidR="00327490" w:rsidRPr="002C13F3">
        <w:rPr>
          <w:rFonts w:ascii="Century" w:eastAsia="Times New Roman" w:hAnsi="Century" w:cs="Arial"/>
          <w:bCs/>
          <w:sz w:val="24"/>
          <w:szCs w:val="24"/>
        </w:rPr>
        <w:t xml:space="preserve">l art. 161 de la </w:t>
      </w:r>
      <w:r w:rsidR="00327490" w:rsidRPr="002C13F3">
        <w:rPr>
          <w:rFonts w:ascii="Century" w:hAnsi="Century"/>
          <w:sz w:val="24"/>
          <w:szCs w:val="24"/>
        </w:rPr>
        <w:t>Ley de las Cortes Valencianas 5/2013, de 23 de diciembre, de medidas fiscales, de gestión administrativa y financiera, y de organización de la Generalitat</w:t>
      </w:r>
      <w:r w:rsidR="00FA30AD">
        <w:rPr>
          <w:rFonts w:ascii="Century" w:hAnsi="Century"/>
          <w:sz w:val="24"/>
          <w:szCs w:val="24"/>
        </w:rPr>
        <w:t>,</w:t>
      </w:r>
      <w:r w:rsidRPr="002C13F3">
        <w:rPr>
          <w:rFonts w:ascii="Century" w:eastAsia="Times New Roman" w:hAnsi="Century" w:cs="Arial"/>
          <w:bCs/>
          <w:sz w:val="24"/>
          <w:szCs w:val="24"/>
        </w:rPr>
        <w:t xml:space="preserve"> que establecía el Impuesto sobre depósitos en entidades de crédito</w:t>
      </w:r>
      <w:r w:rsidR="00327490" w:rsidRPr="002C13F3">
        <w:rPr>
          <w:rFonts w:ascii="Century" w:eastAsia="Times New Roman" w:hAnsi="Century" w:cs="Arial"/>
          <w:bCs/>
          <w:sz w:val="24"/>
          <w:szCs w:val="24"/>
        </w:rPr>
        <w:t>,</w:t>
      </w:r>
      <w:r w:rsidRPr="002C13F3">
        <w:rPr>
          <w:rFonts w:ascii="Century" w:eastAsia="Times New Roman" w:hAnsi="Century" w:cs="Arial"/>
          <w:bCs/>
          <w:sz w:val="24"/>
          <w:szCs w:val="24"/>
        </w:rPr>
        <w:t xml:space="preserve"> debido a </w:t>
      </w:r>
      <w:r w:rsidR="00FA30AD">
        <w:rPr>
          <w:rFonts w:ascii="Century" w:eastAsia="Times New Roman" w:hAnsi="Century" w:cs="Arial"/>
          <w:bCs/>
          <w:sz w:val="24"/>
          <w:szCs w:val="24"/>
        </w:rPr>
        <w:t>esta precisamente</w:t>
      </w:r>
      <w:r w:rsidRPr="002C13F3">
        <w:rPr>
          <w:rFonts w:ascii="Century" w:eastAsia="Times New Roman" w:hAnsi="Century" w:cs="Arial"/>
          <w:bCs/>
          <w:sz w:val="24"/>
          <w:szCs w:val="24"/>
        </w:rPr>
        <w:t xml:space="preserve"> duplicidad impositiva prohibida</w:t>
      </w:r>
      <w:r w:rsidRPr="002C13F3">
        <w:rPr>
          <w:rStyle w:val="Refdenotaalpie"/>
          <w:rFonts w:ascii="Century" w:eastAsia="Times New Roman" w:hAnsi="Century" w:cs="Arial"/>
          <w:bCs/>
          <w:sz w:val="24"/>
          <w:szCs w:val="24"/>
        </w:rPr>
        <w:footnoteReference w:id="40"/>
      </w:r>
      <w:r w:rsidRPr="002C13F3">
        <w:rPr>
          <w:rFonts w:ascii="Century" w:eastAsia="Times New Roman" w:hAnsi="Century" w:cs="Arial"/>
          <w:bCs/>
          <w:sz w:val="24"/>
          <w:szCs w:val="24"/>
        </w:rPr>
        <w:t>.</w:t>
      </w:r>
    </w:p>
    <w:p w:rsidR="00F379D0" w:rsidRDefault="00F379D0" w:rsidP="002D11BC">
      <w:pPr>
        <w:spacing w:after="240" w:line="360" w:lineRule="auto"/>
        <w:jc w:val="both"/>
        <w:rPr>
          <w:rFonts w:ascii="Century" w:hAnsi="Century"/>
          <w:sz w:val="24"/>
          <w:szCs w:val="24"/>
        </w:rPr>
      </w:pPr>
      <w:r w:rsidRPr="002C13F3">
        <w:rPr>
          <w:rFonts w:ascii="Century" w:hAnsi="Century"/>
          <w:sz w:val="24"/>
          <w:szCs w:val="24"/>
        </w:rPr>
        <w:tab/>
        <w:t xml:space="preserve">Los límites de la potestad tributaria autonómica están relacionados con el principio de unidad de mercado, pues la creación de impuestos propios por parte de las CCAA puede crear distorsiones en dicha unidad y vulnerar </w:t>
      </w:r>
      <w:r w:rsidRPr="002C13F3">
        <w:rPr>
          <w:rFonts w:ascii="Century" w:hAnsi="Century"/>
          <w:sz w:val="24"/>
          <w:szCs w:val="24"/>
        </w:rPr>
        <w:lastRenderedPageBreak/>
        <w:t>las libertades de circulación. Estos límites también están relacionados con la prohibición de extraterritorialidad del impuesto, y por tanto, con el principio de lealtad institucional, ya que las CCAA deben ejercer sus propias competencias sin impedir que las otras realicen las suyas con total libertad</w:t>
      </w:r>
      <w:r w:rsidR="004B43D4">
        <w:rPr>
          <w:rStyle w:val="Refdenotaalpie"/>
          <w:rFonts w:ascii="Century" w:hAnsi="Century"/>
          <w:sz w:val="24"/>
          <w:szCs w:val="24"/>
        </w:rPr>
        <w:footnoteReference w:id="41"/>
      </w:r>
      <w:r w:rsidRPr="002C13F3">
        <w:rPr>
          <w:rFonts w:ascii="Century" w:hAnsi="Century"/>
          <w:sz w:val="24"/>
          <w:szCs w:val="24"/>
        </w:rPr>
        <w:t>.</w:t>
      </w:r>
    </w:p>
    <w:p w:rsidR="003126CE" w:rsidRPr="002C13F3" w:rsidRDefault="004B43D4" w:rsidP="002D11BC">
      <w:pPr>
        <w:spacing w:after="240" w:line="360" w:lineRule="auto"/>
        <w:jc w:val="both"/>
        <w:rPr>
          <w:rFonts w:ascii="Century" w:eastAsia="Times New Roman" w:hAnsi="Century" w:cs="Arial"/>
          <w:bCs/>
          <w:sz w:val="24"/>
          <w:szCs w:val="24"/>
        </w:rPr>
      </w:pPr>
      <w:r>
        <w:rPr>
          <w:rFonts w:ascii="Century" w:hAnsi="Century"/>
          <w:sz w:val="24"/>
          <w:szCs w:val="24"/>
        </w:rPr>
        <w:tab/>
        <w:t xml:space="preserve">Las CCAA pueden crear sus tributos propios, y así lo regula </w:t>
      </w:r>
      <w:r>
        <w:rPr>
          <w:rFonts w:ascii="Century" w:eastAsia="Times New Roman" w:hAnsi="Century" w:cs="Arial"/>
          <w:bCs/>
          <w:sz w:val="24"/>
          <w:szCs w:val="24"/>
        </w:rPr>
        <w:t xml:space="preserve">el art. 2.2 de la LGT y los arts. 7 a </w:t>
      </w:r>
      <w:r w:rsidR="003126CE" w:rsidRPr="002C13F3">
        <w:rPr>
          <w:rFonts w:ascii="Century" w:eastAsia="Times New Roman" w:hAnsi="Century" w:cs="Arial"/>
          <w:bCs/>
          <w:sz w:val="24"/>
          <w:szCs w:val="24"/>
        </w:rPr>
        <w:t>9 de</w:t>
      </w:r>
      <w:r>
        <w:rPr>
          <w:rFonts w:ascii="Century" w:eastAsia="Times New Roman" w:hAnsi="Century" w:cs="Arial"/>
          <w:bCs/>
          <w:sz w:val="24"/>
          <w:szCs w:val="24"/>
        </w:rPr>
        <w:t xml:space="preserve"> la LOFCA.</w:t>
      </w:r>
      <w:r w:rsidR="002C776A" w:rsidRPr="002C13F3">
        <w:rPr>
          <w:rFonts w:ascii="Century" w:eastAsia="Times New Roman" w:hAnsi="Century" w:cs="Arial"/>
          <w:bCs/>
          <w:sz w:val="24"/>
          <w:szCs w:val="24"/>
        </w:rPr>
        <w:t xml:space="preserve"> </w:t>
      </w:r>
      <w:r>
        <w:rPr>
          <w:rFonts w:ascii="Century" w:eastAsia="Times New Roman" w:hAnsi="Century" w:cs="Arial"/>
          <w:bCs/>
          <w:sz w:val="24"/>
          <w:szCs w:val="24"/>
        </w:rPr>
        <w:t xml:space="preserve">Los impuestos, tasas y contribuciones especiales regulados por las CCAA se convierten así en los medios idóneos de financiación </w:t>
      </w:r>
      <w:r w:rsidR="002C776A" w:rsidRPr="002C13F3">
        <w:rPr>
          <w:rFonts w:ascii="Century" w:hAnsi="Century"/>
          <w:sz w:val="24"/>
          <w:szCs w:val="24"/>
        </w:rPr>
        <w:t>donde mantienen una plena capacidad normativa y de gestión.</w:t>
      </w:r>
      <w:r w:rsidR="007576D5">
        <w:rPr>
          <w:rFonts w:ascii="Century" w:eastAsia="Times New Roman" w:hAnsi="Century" w:cs="Arial"/>
          <w:bCs/>
          <w:sz w:val="24"/>
          <w:szCs w:val="24"/>
        </w:rPr>
        <w:t xml:space="preserve"> </w:t>
      </w:r>
      <w:r>
        <w:rPr>
          <w:rFonts w:ascii="Century" w:eastAsia="Times New Roman" w:hAnsi="Century" w:cs="Arial"/>
          <w:bCs/>
          <w:sz w:val="24"/>
          <w:szCs w:val="24"/>
        </w:rPr>
        <w:t xml:space="preserve">El principal problema que </w:t>
      </w:r>
      <w:r w:rsidR="007576D5">
        <w:rPr>
          <w:rFonts w:ascii="Century" w:eastAsia="Times New Roman" w:hAnsi="Century" w:cs="Arial"/>
          <w:bCs/>
          <w:sz w:val="24"/>
          <w:szCs w:val="24"/>
        </w:rPr>
        <w:t>é</w:t>
      </w:r>
      <w:r>
        <w:rPr>
          <w:rFonts w:ascii="Century" w:eastAsia="Times New Roman" w:hAnsi="Century" w:cs="Arial"/>
          <w:bCs/>
          <w:sz w:val="24"/>
          <w:szCs w:val="24"/>
        </w:rPr>
        <w:t xml:space="preserve">stos plantean, especialmente en lo que a impuestos se refiere, es el de la </w:t>
      </w:r>
      <w:r w:rsidR="007576D5">
        <w:rPr>
          <w:rFonts w:ascii="Century" w:eastAsia="Times New Roman" w:hAnsi="Century" w:cs="Arial"/>
          <w:bCs/>
          <w:sz w:val="24"/>
          <w:szCs w:val="24"/>
        </w:rPr>
        <w:t>concreción de la materia imponible, en tanto que no puede recaer sobre hechos imponibles ya gravados por el Estado encontrándose con verdaderos problemas para hallar espacios aún no gravados por éste. Así, se han hecho por ejemplo, con ámbitos relacionados con la protección medio ambiental o el juego.</w:t>
      </w:r>
    </w:p>
    <w:p w:rsidR="003126CE" w:rsidRPr="002C13F3" w:rsidRDefault="003126CE" w:rsidP="002D11BC">
      <w:pPr>
        <w:spacing w:after="240" w:line="360" w:lineRule="auto"/>
        <w:jc w:val="both"/>
        <w:rPr>
          <w:rFonts w:ascii="Century" w:eastAsia="Times New Roman" w:hAnsi="Century" w:cs="Arial"/>
          <w:bCs/>
          <w:sz w:val="24"/>
          <w:szCs w:val="24"/>
        </w:rPr>
      </w:pPr>
      <w:r w:rsidRPr="002C13F3">
        <w:rPr>
          <w:rFonts w:ascii="Century" w:eastAsia="Times New Roman" w:hAnsi="Century" w:cs="Arial"/>
          <w:bCs/>
          <w:sz w:val="24"/>
          <w:szCs w:val="24"/>
        </w:rPr>
        <w:tab/>
        <w:t>Con respecto a los tributos cedidos por el Estado a las CCAA,</w:t>
      </w:r>
      <w:r w:rsidR="007576D5">
        <w:rPr>
          <w:rFonts w:ascii="Century" w:eastAsia="Times New Roman" w:hAnsi="Century" w:cs="Arial"/>
          <w:bCs/>
          <w:sz w:val="24"/>
          <w:szCs w:val="24"/>
        </w:rPr>
        <w:t xml:space="preserve"> su</w:t>
      </w:r>
      <w:r w:rsidRPr="002C13F3">
        <w:rPr>
          <w:rFonts w:ascii="Century" w:eastAsia="Times New Roman" w:hAnsi="Century" w:cs="Arial"/>
          <w:bCs/>
          <w:sz w:val="24"/>
          <w:szCs w:val="24"/>
        </w:rPr>
        <w:t xml:space="preserve"> normativa aplicable se desarrolla</w:t>
      </w:r>
      <w:r w:rsidR="007576D5" w:rsidRPr="007576D5">
        <w:rPr>
          <w:rFonts w:ascii="Calibri" w:eastAsia="Times New Roman" w:hAnsi="Calibri" w:cs="Calibri"/>
          <w:bCs/>
          <w:sz w:val="24"/>
          <w:szCs w:val="24"/>
        </w:rPr>
        <w:t>:</w:t>
      </w:r>
      <w:r w:rsidRPr="002C13F3">
        <w:rPr>
          <w:rFonts w:ascii="Century" w:eastAsia="Times New Roman" w:hAnsi="Century" w:cs="Arial"/>
          <w:bCs/>
          <w:sz w:val="24"/>
          <w:szCs w:val="24"/>
        </w:rPr>
        <w:t xml:space="preserve"> en el art. 27 de la Ley de Cesión</w:t>
      </w:r>
      <w:r w:rsidR="007576D5">
        <w:rPr>
          <w:rFonts w:ascii="Century" w:eastAsia="Times New Roman" w:hAnsi="Century" w:cs="Arial"/>
          <w:bCs/>
          <w:sz w:val="24"/>
          <w:szCs w:val="24"/>
        </w:rPr>
        <w:t>,</w:t>
      </w:r>
      <w:r w:rsidRPr="002C13F3">
        <w:rPr>
          <w:rFonts w:ascii="Century" w:eastAsia="Times New Roman" w:hAnsi="Century" w:cs="Arial"/>
          <w:bCs/>
          <w:sz w:val="24"/>
          <w:szCs w:val="24"/>
        </w:rPr>
        <w:t xml:space="preserve"> que establece que se regirán por la LGT</w:t>
      </w:r>
      <w:r w:rsidRPr="00EC29FC">
        <w:rPr>
          <w:rFonts w:eastAsia="Times New Roman" w:cstheme="minorHAnsi"/>
          <w:bCs/>
          <w:sz w:val="24"/>
          <w:szCs w:val="24"/>
        </w:rPr>
        <w:t>;</w:t>
      </w:r>
      <w:r w:rsidRPr="002C13F3">
        <w:rPr>
          <w:rFonts w:ascii="Century" w:eastAsia="Times New Roman" w:hAnsi="Century" w:cs="Arial"/>
          <w:bCs/>
          <w:sz w:val="24"/>
          <w:szCs w:val="24"/>
        </w:rPr>
        <w:t xml:space="preserve"> los Reglamentos generales dictados en desarrollo de la LGT y de las leyes propias de cada tributo</w:t>
      </w:r>
      <w:r w:rsidRPr="00EC29FC">
        <w:rPr>
          <w:rFonts w:eastAsia="Times New Roman" w:cstheme="minorHAnsi"/>
          <w:bCs/>
          <w:sz w:val="24"/>
          <w:szCs w:val="24"/>
        </w:rPr>
        <w:t>;</w:t>
      </w:r>
      <w:r w:rsidRPr="002C13F3">
        <w:rPr>
          <w:rFonts w:ascii="Century" w:eastAsia="Times New Roman" w:hAnsi="Century" w:cs="Arial"/>
          <w:bCs/>
          <w:sz w:val="24"/>
          <w:szCs w:val="24"/>
        </w:rPr>
        <w:t xml:space="preserve"> los Convenios o Tratados internacionales</w:t>
      </w:r>
      <w:r w:rsidRPr="00EC29FC">
        <w:rPr>
          <w:rFonts w:eastAsia="Times New Roman" w:cstheme="minorHAnsi"/>
          <w:bCs/>
          <w:sz w:val="24"/>
          <w:szCs w:val="24"/>
        </w:rPr>
        <w:t>;</w:t>
      </w:r>
      <w:r w:rsidRPr="002C13F3">
        <w:rPr>
          <w:rFonts w:ascii="Century" w:eastAsia="Times New Roman" w:hAnsi="Century" w:cs="Arial"/>
          <w:bCs/>
          <w:sz w:val="24"/>
          <w:szCs w:val="24"/>
        </w:rPr>
        <w:t xml:space="preserve"> las demás disposiciones de carácter general, reglamentarias o interpretativas, dictadas por la Administración del Estado</w:t>
      </w:r>
      <w:r w:rsidR="007576D5" w:rsidRPr="007576D5">
        <w:rPr>
          <w:rFonts w:ascii="Calibri" w:eastAsia="Times New Roman" w:hAnsi="Calibri" w:cs="Calibri"/>
          <w:bCs/>
          <w:sz w:val="24"/>
          <w:szCs w:val="24"/>
        </w:rPr>
        <w:t>;</w:t>
      </w:r>
      <w:r w:rsidRPr="002C13F3">
        <w:rPr>
          <w:rFonts w:ascii="Century" w:eastAsia="Times New Roman" w:hAnsi="Century" w:cs="Arial"/>
          <w:bCs/>
          <w:sz w:val="24"/>
          <w:szCs w:val="24"/>
        </w:rPr>
        <w:t xml:space="preserve"> y, por las normas emanadas de la</w:t>
      </w:r>
      <w:r w:rsidR="002C776A" w:rsidRPr="002C13F3">
        <w:rPr>
          <w:rFonts w:ascii="Century" w:eastAsia="Times New Roman" w:hAnsi="Century" w:cs="Arial"/>
          <w:bCs/>
          <w:sz w:val="24"/>
          <w:szCs w:val="24"/>
        </w:rPr>
        <w:t>s CCAA</w:t>
      </w:r>
      <w:r w:rsidRPr="002C13F3">
        <w:rPr>
          <w:rFonts w:ascii="Century" w:eastAsia="Times New Roman" w:hAnsi="Century" w:cs="Arial"/>
          <w:bCs/>
          <w:sz w:val="24"/>
          <w:szCs w:val="24"/>
        </w:rPr>
        <w:t xml:space="preserve"> competente</w:t>
      </w:r>
      <w:r w:rsidR="002C776A" w:rsidRPr="002C13F3">
        <w:rPr>
          <w:rFonts w:ascii="Century" w:eastAsia="Times New Roman" w:hAnsi="Century" w:cs="Arial"/>
          <w:bCs/>
          <w:sz w:val="24"/>
          <w:szCs w:val="24"/>
        </w:rPr>
        <w:t>s</w:t>
      </w:r>
      <w:r w:rsidRPr="002C13F3">
        <w:rPr>
          <w:rFonts w:ascii="Century" w:eastAsia="Times New Roman" w:hAnsi="Century" w:cs="Arial"/>
          <w:bCs/>
          <w:sz w:val="24"/>
          <w:szCs w:val="24"/>
        </w:rPr>
        <w:t xml:space="preserve"> según el alcance y los puntos de conexión establecidos en el mismo.</w:t>
      </w:r>
    </w:p>
    <w:p w:rsidR="003126CE" w:rsidRPr="002C13F3" w:rsidRDefault="003126CE" w:rsidP="002D11BC">
      <w:pPr>
        <w:spacing w:after="240" w:line="360" w:lineRule="auto"/>
        <w:jc w:val="both"/>
        <w:rPr>
          <w:rFonts w:ascii="Century" w:hAnsi="Century"/>
          <w:sz w:val="24"/>
          <w:szCs w:val="24"/>
        </w:rPr>
      </w:pPr>
      <w:r w:rsidRPr="002C13F3">
        <w:rPr>
          <w:rFonts w:ascii="Century" w:hAnsi="Century"/>
        </w:rPr>
        <w:tab/>
      </w:r>
      <w:r w:rsidRPr="002C13F3">
        <w:rPr>
          <w:rFonts w:ascii="Century" w:hAnsi="Century"/>
          <w:sz w:val="24"/>
          <w:szCs w:val="24"/>
        </w:rPr>
        <w:t xml:space="preserve">El art. 10 de la LOFCA establece que </w:t>
      </w:r>
      <w:r w:rsidR="007576D5">
        <w:rPr>
          <w:rFonts w:ascii="Century" w:hAnsi="Century"/>
          <w:sz w:val="24"/>
          <w:szCs w:val="24"/>
        </w:rPr>
        <w:t>se trata de</w:t>
      </w:r>
      <w:r w:rsidRPr="002C13F3">
        <w:rPr>
          <w:rFonts w:ascii="Century" w:hAnsi="Century"/>
          <w:sz w:val="24"/>
          <w:szCs w:val="24"/>
        </w:rPr>
        <w:t xml:space="preserve"> tributos establecidos y regulados por el Estado, pero cuyo producto corresponde a la</w:t>
      </w:r>
      <w:r w:rsidR="002C776A" w:rsidRPr="002C13F3">
        <w:rPr>
          <w:rFonts w:ascii="Century" w:hAnsi="Century"/>
          <w:sz w:val="24"/>
          <w:szCs w:val="24"/>
        </w:rPr>
        <w:t>s CCAA</w:t>
      </w:r>
      <w:r w:rsidRPr="002C13F3">
        <w:rPr>
          <w:rFonts w:ascii="Century" w:hAnsi="Century"/>
          <w:sz w:val="24"/>
          <w:szCs w:val="24"/>
        </w:rPr>
        <w:t xml:space="preserve">. La cesión de tributos </w:t>
      </w:r>
      <w:r w:rsidR="007576D5">
        <w:rPr>
          <w:rFonts w:ascii="Century" w:hAnsi="Century"/>
          <w:sz w:val="24"/>
          <w:szCs w:val="24"/>
        </w:rPr>
        <w:t>puede ser t</w:t>
      </w:r>
      <w:r w:rsidRPr="002C13F3">
        <w:rPr>
          <w:rFonts w:ascii="Century" w:hAnsi="Century"/>
          <w:sz w:val="24"/>
          <w:szCs w:val="24"/>
        </w:rPr>
        <w:t>otal</w:t>
      </w:r>
      <w:r w:rsidR="007576D5">
        <w:rPr>
          <w:rFonts w:ascii="Century" w:hAnsi="Century"/>
          <w:sz w:val="24"/>
          <w:szCs w:val="24"/>
        </w:rPr>
        <w:t>,</w:t>
      </w:r>
      <w:r w:rsidRPr="002C13F3">
        <w:rPr>
          <w:rFonts w:ascii="Century" w:hAnsi="Century"/>
          <w:sz w:val="24"/>
          <w:szCs w:val="24"/>
        </w:rPr>
        <w:t xml:space="preserve"> si se hubiese cedido la recaudación correspondiente a la totalidad de los hechos imponibles contemplados en el tributo de que se trate, o</w:t>
      </w:r>
      <w:r w:rsidR="007576D5">
        <w:rPr>
          <w:rFonts w:ascii="Century" w:hAnsi="Century"/>
          <w:sz w:val="24"/>
          <w:szCs w:val="24"/>
        </w:rPr>
        <w:t>,</w:t>
      </w:r>
      <w:r w:rsidRPr="002C13F3">
        <w:rPr>
          <w:rFonts w:ascii="Century" w:hAnsi="Century"/>
          <w:sz w:val="24"/>
          <w:szCs w:val="24"/>
        </w:rPr>
        <w:t xml:space="preserve"> parcial si se hubiese cedido la de alguno o algunos </w:t>
      </w:r>
      <w:r w:rsidRPr="002C13F3">
        <w:rPr>
          <w:rFonts w:ascii="Century" w:hAnsi="Century"/>
          <w:sz w:val="24"/>
          <w:szCs w:val="24"/>
        </w:rPr>
        <w:lastRenderedPageBreak/>
        <w:t>de los mencionados hechos imponibles, o parte de la recaudación correspondiente a un tributo.</w:t>
      </w:r>
    </w:p>
    <w:p w:rsidR="003126CE" w:rsidRDefault="003126CE" w:rsidP="002D11BC">
      <w:pPr>
        <w:spacing w:after="240" w:line="360" w:lineRule="auto"/>
        <w:jc w:val="both"/>
        <w:rPr>
          <w:rFonts w:ascii="Century" w:eastAsia="Times New Roman" w:hAnsi="Century" w:cs="Arial"/>
          <w:bCs/>
          <w:sz w:val="24"/>
          <w:szCs w:val="24"/>
        </w:rPr>
      </w:pPr>
      <w:r w:rsidRPr="002C13F3">
        <w:rPr>
          <w:rFonts w:ascii="Century" w:hAnsi="Century"/>
          <w:sz w:val="24"/>
          <w:szCs w:val="24"/>
        </w:rPr>
        <w:tab/>
        <w:t>El</w:t>
      </w:r>
      <w:r w:rsidRPr="002C13F3">
        <w:rPr>
          <w:rFonts w:ascii="Century" w:eastAsia="Times New Roman" w:hAnsi="Century" w:cs="Arial"/>
          <w:bCs/>
          <w:sz w:val="24"/>
          <w:szCs w:val="24"/>
        </w:rPr>
        <w:t xml:space="preserve"> factor más importante a tener en cuenta en estos tributos es la separación que se debe producir entre la titularidad de las competencias normativas de los tributos cedidos</w:t>
      </w:r>
      <w:r w:rsidR="007576D5">
        <w:rPr>
          <w:rFonts w:ascii="Century" w:eastAsia="Times New Roman" w:hAnsi="Century" w:cs="Arial"/>
          <w:bCs/>
          <w:sz w:val="24"/>
          <w:szCs w:val="24"/>
        </w:rPr>
        <w:t>,</w:t>
      </w:r>
      <w:r w:rsidRPr="002C13F3">
        <w:rPr>
          <w:rFonts w:ascii="Century" w:eastAsia="Times New Roman" w:hAnsi="Century" w:cs="Arial"/>
          <w:bCs/>
          <w:sz w:val="24"/>
          <w:szCs w:val="24"/>
        </w:rPr>
        <w:t xml:space="preserve"> que corresponde exclusivamente al Estado, y el ejercicio de las mismas</w:t>
      </w:r>
      <w:r w:rsidR="007576D5">
        <w:rPr>
          <w:rFonts w:ascii="Century" w:eastAsia="Times New Roman" w:hAnsi="Century" w:cs="Arial"/>
          <w:bCs/>
          <w:sz w:val="24"/>
          <w:szCs w:val="24"/>
        </w:rPr>
        <w:t>,</w:t>
      </w:r>
      <w:r w:rsidRPr="002C13F3">
        <w:rPr>
          <w:rFonts w:ascii="Century" w:eastAsia="Times New Roman" w:hAnsi="Century" w:cs="Arial"/>
          <w:bCs/>
          <w:sz w:val="24"/>
          <w:szCs w:val="24"/>
        </w:rPr>
        <w:t xml:space="preserve"> que ha sido cedido con ciertas limitaciones a las CCAA. En este sentido, la atribución de competencias en los tributos cedidos se ve limitada por la exclusividad del Estado de mantener la titularidad </w:t>
      </w:r>
      <w:r w:rsidR="007576D5">
        <w:rPr>
          <w:rFonts w:ascii="Century" w:eastAsia="Times New Roman" w:hAnsi="Century" w:cs="Arial"/>
          <w:bCs/>
          <w:sz w:val="24"/>
          <w:szCs w:val="24"/>
        </w:rPr>
        <w:t xml:space="preserve">de dichas competencias. Y así, éste </w:t>
      </w:r>
      <w:r w:rsidRPr="002C13F3">
        <w:rPr>
          <w:rFonts w:ascii="Century" w:eastAsia="Times New Roman" w:hAnsi="Century" w:cs="Arial"/>
          <w:bCs/>
          <w:sz w:val="24"/>
          <w:szCs w:val="24"/>
        </w:rPr>
        <w:t>debe tener la total capacidad normativa sobre los tributos cedidos</w:t>
      </w:r>
      <w:r w:rsidR="007576D5">
        <w:rPr>
          <w:rFonts w:ascii="Century" w:eastAsia="Times New Roman" w:hAnsi="Century" w:cs="Arial"/>
          <w:bCs/>
          <w:sz w:val="24"/>
          <w:szCs w:val="24"/>
        </w:rPr>
        <w:t>,</w:t>
      </w:r>
      <w:r w:rsidRPr="002C13F3">
        <w:rPr>
          <w:rFonts w:ascii="Century" w:eastAsia="Times New Roman" w:hAnsi="Century" w:cs="Arial"/>
          <w:bCs/>
          <w:sz w:val="24"/>
          <w:szCs w:val="24"/>
        </w:rPr>
        <w:t xml:space="preserve"> y no otorgar poderes normativos a las CCAA en materia</w:t>
      </w:r>
      <w:r w:rsidR="007576D5">
        <w:rPr>
          <w:rFonts w:ascii="Century" w:eastAsia="Times New Roman" w:hAnsi="Century" w:cs="Arial"/>
          <w:bCs/>
          <w:sz w:val="24"/>
          <w:szCs w:val="24"/>
        </w:rPr>
        <w:t>s</w:t>
      </w:r>
      <w:r w:rsidRPr="002C13F3">
        <w:rPr>
          <w:rFonts w:ascii="Century" w:eastAsia="Times New Roman" w:hAnsi="Century" w:cs="Arial"/>
          <w:bCs/>
          <w:sz w:val="24"/>
          <w:szCs w:val="24"/>
        </w:rPr>
        <w:t xml:space="preserve"> que son de titularidad estatal</w:t>
      </w:r>
      <w:r w:rsidRPr="002C13F3">
        <w:rPr>
          <w:rStyle w:val="Refdenotaalpie"/>
          <w:rFonts w:ascii="Century" w:eastAsia="Times New Roman" w:hAnsi="Century" w:cs="Arial"/>
          <w:bCs/>
          <w:sz w:val="24"/>
          <w:szCs w:val="24"/>
        </w:rPr>
        <w:footnoteReference w:id="42"/>
      </w:r>
      <w:r w:rsidRPr="002C13F3">
        <w:rPr>
          <w:rFonts w:ascii="Century" w:eastAsia="Times New Roman" w:hAnsi="Century" w:cs="Arial"/>
          <w:bCs/>
          <w:sz w:val="24"/>
          <w:szCs w:val="24"/>
        </w:rPr>
        <w:t>.</w:t>
      </w:r>
    </w:p>
    <w:p w:rsidR="003126CE" w:rsidRPr="002C13F3" w:rsidRDefault="007576D5" w:rsidP="002D11BC">
      <w:pPr>
        <w:spacing w:after="240" w:line="360" w:lineRule="auto"/>
        <w:jc w:val="both"/>
        <w:rPr>
          <w:rFonts w:ascii="Century" w:hAnsi="Century"/>
          <w:sz w:val="24"/>
          <w:szCs w:val="24"/>
        </w:rPr>
      </w:pPr>
      <w:r>
        <w:rPr>
          <w:rFonts w:ascii="Century" w:eastAsia="Times New Roman" w:hAnsi="Century" w:cs="Arial"/>
          <w:bCs/>
          <w:sz w:val="24"/>
          <w:szCs w:val="24"/>
        </w:rPr>
        <w:tab/>
        <w:t>Respecto al contenido cedido</w:t>
      </w:r>
      <w:r w:rsidR="003126CE" w:rsidRPr="002C13F3">
        <w:rPr>
          <w:rFonts w:ascii="Century" w:hAnsi="Century"/>
          <w:sz w:val="24"/>
          <w:szCs w:val="24"/>
        </w:rPr>
        <w:t>, el art. 25 de la Ley de Cesión establece que se cede a las CCAA el rendimiento total o parcial en su territorio de una serie de tributos, tanto directos como</w:t>
      </w:r>
      <w:r w:rsidR="004B017E">
        <w:rPr>
          <w:rFonts w:ascii="Century" w:hAnsi="Century"/>
          <w:sz w:val="24"/>
          <w:szCs w:val="24"/>
        </w:rPr>
        <w:t xml:space="preserve"> indirectos, entre ellos el ISUC</w:t>
      </w:r>
      <w:r w:rsidR="001F25C2" w:rsidRPr="002C13F3">
        <w:rPr>
          <w:rFonts w:ascii="Century" w:hAnsi="Century"/>
          <w:sz w:val="24"/>
          <w:szCs w:val="24"/>
        </w:rPr>
        <w:t xml:space="preserve">. </w:t>
      </w:r>
      <w:r w:rsidR="003126CE" w:rsidRPr="002C13F3">
        <w:rPr>
          <w:rFonts w:ascii="Century" w:hAnsi="Century"/>
          <w:sz w:val="24"/>
          <w:szCs w:val="24"/>
        </w:rPr>
        <w:t>Añade además que, en el caso de que se produzca una supresión o modificación por el Estado de alguno de los tributos regulados en este artículo</w:t>
      </w:r>
      <w:r>
        <w:rPr>
          <w:rFonts w:ascii="Century" w:hAnsi="Century"/>
          <w:sz w:val="24"/>
          <w:szCs w:val="24"/>
        </w:rPr>
        <w:t>, ello</w:t>
      </w:r>
      <w:r w:rsidR="003126CE" w:rsidRPr="002C13F3">
        <w:rPr>
          <w:rFonts w:ascii="Century" w:hAnsi="Century"/>
          <w:sz w:val="24"/>
          <w:szCs w:val="24"/>
        </w:rPr>
        <w:t xml:space="preserve"> implicará la extinción o modificación de la cesión.</w:t>
      </w:r>
    </w:p>
    <w:p w:rsidR="003126CE" w:rsidRPr="002C13F3" w:rsidRDefault="007576D5" w:rsidP="002D11BC">
      <w:pPr>
        <w:spacing w:after="240" w:line="360" w:lineRule="auto"/>
        <w:jc w:val="both"/>
        <w:rPr>
          <w:rFonts w:ascii="Century" w:eastAsia="Times New Roman" w:hAnsi="Century" w:cs="Arial"/>
          <w:bCs/>
          <w:sz w:val="24"/>
          <w:szCs w:val="24"/>
        </w:rPr>
      </w:pPr>
      <w:r>
        <w:rPr>
          <w:rFonts w:ascii="Century" w:eastAsia="Times New Roman" w:hAnsi="Century" w:cs="Arial"/>
          <w:bCs/>
          <w:sz w:val="24"/>
          <w:szCs w:val="24"/>
        </w:rPr>
        <w:tab/>
        <w:t>Esta cesión se realiza</w:t>
      </w:r>
      <w:r w:rsidR="003126CE" w:rsidRPr="002C13F3">
        <w:rPr>
          <w:rFonts w:ascii="Century" w:eastAsia="Times New Roman" w:hAnsi="Century" w:cs="Arial"/>
          <w:bCs/>
          <w:sz w:val="24"/>
          <w:szCs w:val="24"/>
        </w:rPr>
        <w:t xml:space="preserve"> atribuyendo potestades normativas a las CCAA a través de las leyes específicas de dicha cesión </w:t>
      </w:r>
      <w:r>
        <w:rPr>
          <w:rFonts w:ascii="Century" w:eastAsia="Times New Roman" w:hAnsi="Century" w:cs="Arial"/>
          <w:bCs/>
          <w:sz w:val="24"/>
          <w:szCs w:val="24"/>
        </w:rPr>
        <w:t xml:space="preserve">o </w:t>
      </w:r>
      <w:r w:rsidR="003126CE" w:rsidRPr="002C13F3">
        <w:rPr>
          <w:rFonts w:ascii="Century" w:eastAsia="Times New Roman" w:hAnsi="Century" w:cs="Arial"/>
          <w:bCs/>
          <w:sz w:val="24"/>
          <w:szCs w:val="24"/>
        </w:rPr>
        <w:t>leyes marco</w:t>
      </w:r>
      <w:r>
        <w:rPr>
          <w:rFonts w:ascii="Century" w:eastAsia="Times New Roman" w:hAnsi="Century" w:cs="Arial"/>
          <w:bCs/>
          <w:sz w:val="24"/>
          <w:szCs w:val="24"/>
        </w:rPr>
        <w:t>,</w:t>
      </w:r>
      <w:r w:rsidR="003126CE" w:rsidRPr="002C13F3">
        <w:rPr>
          <w:rFonts w:ascii="Century" w:eastAsia="Times New Roman" w:hAnsi="Century" w:cs="Arial"/>
          <w:bCs/>
          <w:sz w:val="24"/>
          <w:szCs w:val="24"/>
        </w:rPr>
        <w:t xml:space="preserve"> reguladas en el art. 150.1 de la </w:t>
      </w:r>
      <w:r>
        <w:rPr>
          <w:rFonts w:ascii="Century" w:eastAsia="Times New Roman" w:hAnsi="Century" w:cs="Arial"/>
          <w:bCs/>
          <w:sz w:val="24"/>
          <w:szCs w:val="24"/>
        </w:rPr>
        <w:t>CE, que son consideradas como el</w:t>
      </w:r>
      <w:r w:rsidR="003126CE" w:rsidRPr="002C13F3">
        <w:rPr>
          <w:rFonts w:ascii="Century" w:eastAsia="Times New Roman" w:hAnsi="Century" w:cs="Arial"/>
          <w:bCs/>
          <w:sz w:val="24"/>
          <w:szCs w:val="24"/>
        </w:rPr>
        <w:t xml:space="preserve"> mecanismo de delegación de competencias legislativas. Es un instrumento que garantiza</w:t>
      </w:r>
      <w:r>
        <w:rPr>
          <w:rFonts w:ascii="Century" w:eastAsia="Times New Roman" w:hAnsi="Century" w:cs="Arial"/>
          <w:bCs/>
          <w:sz w:val="24"/>
          <w:szCs w:val="24"/>
        </w:rPr>
        <w:t xml:space="preserve"> la</w:t>
      </w:r>
      <w:r w:rsidR="003126CE" w:rsidRPr="002C13F3">
        <w:rPr>
          <w:rFonts w:ascii="Century" w:eastAsia="Times New Roman" w:hAnsi="Century" w:cs="Arial"/>
          <w:bCs/>
          <w:sz w:val="24"/>
          <w:szCs w:val="24"/>
        </w:rPr>
        <w:t xml:space="preserve"> autonomía tributaria a las CCAA para ejercer algunas potestades en varios impuestos del sistema estatal, y para que el Estado realice un control sobre los impuestos cedidos para así evitar distorsiones</w:t>
      </w:r>
      <w:r w:rsidR="003126CE" w:rsidRPr="002C13F3">
        <w:rPr>
          <w:rStyle w:val="Refdenotaalpie"/>
          <w:rFonts w:ascii="Century" w:eastAsia="Times New Roman" w:hAnsi="Century" w:cs="Arial"/>
          <w:bCs/>
          <w:sz w:val="24"/>
          <w:szCs w:val="24"/>
        </w:rPr>
        <w:footnoteReference w:id="43"/>
      </w:r>
      <w:r w:rsidR="003126CE" w:rsidRPr="002C13F3">
        <w:rPr>
          <w:rFonts w:ascii="Century" w:eastAsia="Times New Roman" w:hAnsi="Century" w:cs="Arial"/>
          <w:bCs/>
          <w:sz w:val="24"/>
          <w:szCs w:val="24"/>
        </w:rPr>
        <w:t xml:space="preserve">. </w:t>
      </w:r>
    </w:p>
    <w:p w:rsidR="00B93CD1" w:rsidRDefault="003126CE" w:rsidP="002D11BC">
      <w:pPr>
        <w:spacing w:after="240" w:line="360" w:lineRule="auto"/>
        <w:jc w:val="both"/>
        <w:rPr>
          <w:rFonts w:ascii="Century" w:hAnsi="Century"/>
          <w:sz w:val="24"/>
          <w:szCs w:val="24"/>
        </w:rPr>
      </w:pPr>
      <w:r w:rsidRPr="002C13F3">
        <w:rPr>
          <w:rFonts w:ascii="Century" w:eastAsia="Times New Roman" w:hAnsi="Century" w:cs="Arial"/>
          <w:bCs/>
          <w:sz w:val="24"/>
          <w:szCs w:val="24"/>
        </w:rPr>
        <w:lastRenderedPageBreak/>
        <w:tab/>
      </w:r>
      <w:r w:rsidR="00E07A55" w:rsidRPr="002C13F3">
        <w:rPr>
          <w:rFonts w:ascii="Century" w:eastAsia="Times New Roman" w:hAnsi="Century" w:cs="Arial"/>
          <w:bCs/>
          <w:sz w:val="24"/>
          <w:szCs w:val="24"/>
        </w:rPr>
        <w:t>Por otro lado, es necesario destacar que l</w:t>
      </w:r>
      <w:r w:rsidR="007576D5">
        <w:rPr>
          <w:rFonts w:ascii="Century" w:eastAsia="Times New Roman" w:hAnsi="Century" w:cs="Arial"/>
          <w:bCs/>
          <w:sz w:val="24"/>
          <w:szCs w:val="24"/>
        </w:rPr>
        <w:t xml:space="preserve">a citada autonomía se basa </w:t>
      </w:r>
      <w:r w:rsidRPr="002C13F3">
        <w:rPr>
          <w:rFonts w:ascii="Century" w:eastAsia="Times New Roman" w:hAnsi="Century" w:cs="Arial"/>
          <w:bCs/>
          <w:sz w:val="24"/>
          <w:szCs w:val="24"/>
        </w:rPr>
        <w:t>en un principio de corresponsabilidad fiscal efectiva</w:t>
      </w:r>
      <w:r w:rsidR="007576D5">
        <w:rPr>
          <w:rFonts w:ascii="Century" w:eastAsia="Times New Roman" w:hAnsi="Century" w:cs="Arial"/>
          <w:bCs/>
          <w:sz w:val="24"/>
          <w:szCs w:val="24"/>
        </w:rPr>
        <w:t>,</w:t>
      </w:r>
      <w:r w:rsidRPr="002C13F3">
        <w:rPr>
          <w:rFonts w:ascii="Century" w:eastAsia="Times New Roman" w:hAnsi="Century" w:cs="Arial"/>
          <w:bCs/>
          <w:sz w:val="24"/>
          <w:szCs w:val="24"/>
        </w:rPr>
        <w:t xml:space="preserve"> </w:t>
      </w:r>
      <w:r w:rsidRPr="002C13F3">
        <w:rPr>
          <w:rFonts w:ascii="Century" w:hAnsi="Century"/>
          <w:sz w:val="24"/>
          <w:szCs w:val="24"/>
        </w:rPr>
        <w:t xml:space="preserve">establecido como otro objetivo del sistema de financiación de las CCAA. </w:t>
      </w:r>
      <w:r w:rsidR="00266C0B" w:rsidRPr="002C13F3">
        <w:rPr>
          <w:rFonts w:ascii="Century" w:hAnsi="Century"/>
          <w:sz w:val="24"/>
          <w:szCs w:val="24"/>
        </w:rPr>
        <w:t>Con este concepto</w:t>
      </w:r>
      <w:r w:rsidR="007576D5">
        <w:rPr>
          <w:rFonts w:ascii="Century" w:hAnsi="Century"/>
          <w:sz w:val="24"/>
          <w:szCs w:val="24"/>
        </w:rPr>
        <w:t>,</w:t>
      </w:r>
      <w:r w:rsidR="00266C0B" w:rsidRPr="002C13F3">
        <w:rPr>
          <w:rFonts w:ascii="Century" w:hAnsi="Century"/>
          <w:sz w:val="24"/>
          <w:szCs w:val="24"/>
        </w:rPr>
        <w:t xml:space="preserve"> “se </w:t>
      </w:r>
      <w:r w:rsidR="00266C0B" w:rsidRPr="002C13F3">
        <w:rPr>
          <w:rFonts w:ascii="Century" w:hAnsi="Century" w:cs="Times-Roman"/>
          <w:sz w:val="24"/>
          <w:szCs w:val="24"/>
        </w:rPr>
        <w:t xml:space="preserve">quiere hacer referencia a la necesidad de que las Comunidades Autónomas cuenten con una lógica correspondencia entre sus ingresos tributarios autónomos y el volumen de sus necesidades, para así poder adecuar la financiación de los bienes y servicios públicos de su competencia a </w:t>
      </w:r>
      <w:r w:rsidR="007576D5">
        <w:rPr>
          <w:rFonts w:ascii="Century" w:hAnsi="Century" w:cs="Times-Roman"/>
          <w:sz w:val="24"/>
          <w:szCs w:val="24"/>
        </w:rPr>
        <w:t xml:space="preserve">las preferencias y al </w:t>
      </w:r>
      <w:r w:rsidR="007576D5">
        <w:rPr>
          <w:rFonts w:ascii="Times New Roman" w:hAnsi="Times New Roman" w:cs="Times New Roman"/>
          <w:sz w:val="24"/>
          <w:szCs w:val="24"/>
        </w:rPr>
        <w:t>«</w:t>
      </w:r>
      <w:r w:rsidR="007576D5">
        <w:rPr>
          <w:rFonts w:ascii="Century" w:hAnsi="Century" w:cs="Times-Roman"/>
          <w:sz w:val="24"/>
          <w:szCs w:val="24"/>
        </w:rPr>
        <w:t>esfuerzo fiscal</w:t>
      </w:r>
      <w:r w:rsidR="007576D5">
        <w:rPr>
          <w:rFonts w:ascii="Times New Roman" w:hAnsi="Times New Roman" w:cs="Times New Roman"/>
          <w:sz w:val="24"/>
          <w:szCs w:val="24"/>
        </w:rPr>
        <w:t>»</w:t>
      </w:r>
      <w:r w:rsidR="00266C0B" w:rsidRPr="002C13F3">
        <w:rPr>
          <w:rFonts w:ascii="Century" w:hAnsi="Century" w:cs="Times-Roman"/>
          <w:sz w:val="24"/>
          <w:szCs w:val="24"/>
        </w:rPr>
        <w:t xml:space="preserve"> de sus respectivas jurisdicciones”</w:t>
      </w:r>
      <w:r w:rsidR="00266C0B" w:rsidRPr="002C13F3">
        <w:rPr>
          <w:rStyle w:val="Refdenotaalpie"/>
          <w:rFonts w:ascii="Century" w:hAnsi="Century" w:cs="Times-Roman"/>
          <w:sz w:val="24"/>
          <w:szCs w:val="24"/>
        </w:rPr>
        <w:footnoteReference w:id="44"/>
      </w:r>
      <w:r w:rsidR="00266C0B" w:rsidRPr="002C13F3">
        <w:rPr>
          <w:rFonts w:ascii="Century" w:hAnsi="Century" w:cs="Times-Roman"/>
          <w:sz w:val="24"/>
          <w:szCs w:val="24"/>
        </w:rPr>
        <w:t>.</w:t>
      </w:r>
      <w:r w:rsidR="007576D5">
        <w:rPr>
          <w:rFonts w:ascii="Century" w:hAnsi="Century"/>
          <w:sz w:val="24"/>
          <w:szCs w:val="24"/>
        </w:rPr>
        <w:t xml:space="preserve"> </w:t>
      </w:r>
      <w:r w:rsidR="00083F6D">
        <w:rPr>
          <w:rFonts w:ascii="Century" w:hAnsi="Century"/>
          <w:sz w:val="24"/>
          <w:szCs w:val="24"/>
        </w:rPr>
        <w:t>En este sentido, l</w:t>
      </w:r>
      <w:r w:rsidR="00266C0B" w:rsidRPr="002C13F3">
        <w:rPr>
          <w:rFonts w:ascii="Century" w:hAnsi="Century"/>
          <w:sz w:val="24"/>
          <w:szCs w:val="24"/>
        </w:rPr>
        <w:t>a</w:t>
      </w:r>
      <w:r w:rsidR="007576D5">
        <w:rPr>
          <w:rFonts w:ascii="Century" w:hAnsi="Century"/>
          <w:sz w:val="24"/>
          <w:szCs w:val="24"/>
        </w:rPr>
        <w:t xml:space="preserve"> </w:t>
      </w:r>
      <w:r w:rsidR="00266C0B" w:rsidRPr="002C13F3">
        <w:rPr>
          <w:rFonts w:ascii="Century" w:hAnsi="Century"/>
          <w:sz w:val="24"/>
          <w:szCs w:val="24"/>
        </w:rPr>
        <w:t xml:space="preserve">corresponsabilidad fiscal </w:t>
      </w:r>
      <w:r w:rsidR="00EA5CCF" w:rsidRPr="002C13F3">
        <w:rPr>
          <w:rFonts w:ascii="Century" w:hAnsi="Century"/>
          <w:sz w:val="24"/>
          <w:szCs w:val="24"/>
        </w:rPr>
        <w:t xml:space="preserve">en las CCAA </w:t>
      </w:r>
      <w:r w:rsidR="00266C0B" w:rsidRPr="002C13F3">
        <w:rPr>
          <w:rFonts w:ascii="Century" w:hAnsi="Century"/>
          <w:sz w:val="24"/>
          <w:szCs w:val="24"/>
        </w:rPr>
        <w:t>se</w:t>
      </w:r>
      <w:r w:rsidRPr="002C13F3">
        <w:rPr>
          <w:rFonts w:ascii="Century" w:hAnsi="Century"/>
          <w:sz w:val="24"/>
          <w:szCs w:val="24"/>
        </w:rPr>
        <w:t xml:space="preserve"> define </w:t>
      </w:r>
      <w:r w:rsidR="007576D5">
        <w:rPr>
          <w:rFonts w:ascii="Century" w:hAnsi="Century"/>
          <w:sz w:val="24"/>
          <w:szCs w:val="24"/>
        </w:rPr>
        <w:t xml:space="preserve">así </w:t>
      </w:r>
      <w:r w:rsidRPr="002C13F3">
        <w:rPr>
          <w:rFonts w:ascii="Century" w:hAnsi="Century"/>
          <w:sz w:val="24"/>
          <w:szCs w:val="24"/>
        </w:rPr>
        <w:t xml:space="preserve">como </w:t>
      </w:r>
      <w:r w:rsidR="00266C0B" w:rsidRPr="002C13F3">
        <w:rPr>
          <w:rFonts w:ascii="Century" w:hAnsi="Century"/>
          <w:sz w:val="24"/>
          <w:szCs w:val="24"/>
        </w:rPr>
        <w:t>“</w:t>
      </w:r>
      <w:r w:rsidRPr="002C13F3">
        <w:rPr>
          <w:rFonts w:ascii="Century" w:hAnsi="Century"/>
          <w:sz w:val="24"/>
          <w:szCs w:val="24"/>
        </w:rPr>
        <w:t>el conjunto de posibilidades de actuación de que disponen las mismas tanto en materia de tributos propios como en materia de tributos cedidos</w:t>
      </w:r>
      <w:r w:rsidR="00266C0B" w:rsidRPr="002C13F3">
        <w:rPr>
          <w:rFonts w:ascii="Century" w:hAnsi="Century"/>
          <w:sz w:val="24"/>
          <w:szCs w:val="24"/>
        </w:rPr>
        <w:t>”</w:t>
      </w:r>
      <w:r w:rsidRPr="002C13F3">
        <w:rPr>
          <w:rFonts w:ascii="Century" w:hAnsi="Century"/>
          <w:sz w:val="24"/>
          <w:szCs w:val="24"/>
        </w:rPr>
        <w:t xml:space="preserve">. </w:t>
      </w:r>
      <w:r w:rsidR="00B93CD1" w:rsidRPr="002C13F3">
        <w:rPr>
          <w:rFonts w:ascii="Century" w:hAnsi="Century"/>
          <w:sz w:val="24"/>
          <w:szCs w:val="24"/>
        </w:rPr>
        <w:t>En</w:t>
      </w:r>
      <w:r w:rsidR="007576D5">
        <w:rPr>
          <w:rFonts w:ascii="Century" w:hAnsi="Century"/>
          <w:sz w:val="24"/>
          <w:szCs w:val="24"/>
        </w:rPr>
        <w:t xml:space="preserve"> este sentido</w:t>
      </w:r>
      <w:r w:rsidR="00B93CD1" w:rsidRPr="002C13F3">
        <w:rPr>
          <w:rFonts w:ascii="Century" w:hAnsi="Century"/>
          <w:sz w:val="24"/>
          <w:szCs w:val="24"/>
        </w:rPr>
        <w:t>, la ampliación de la</w:t>
      </w:r>
      <w:r w:rsidR="007576D5">
        <w:rPr>
          <w:rFonts w:ascii="Century" w:hAnsi="Century"/>
          <w:sz w:val="24"/>
          <w:szCs w:val="24"/>
        </w:rPr>
        <w:t>s</w:t>
      </w:r>
      <w:r w:rsidR="00B93CD1" w:rsidRPr="002C13F3">
        <w:rPr>
          <w:rFonts w:ascii="Century" w:hAnsi="Century"/>
          <w:sz w:val="24"/>
          <w:szCs w:val="24"/>
        </w:rPr>
        <w:t xml:space="preserve"> </w:t>
      </w:r>
      <w:r w:rsidR="007576D5">
        <w:rPr>
          <w:rFonts w:ascii="Century" w:hAnsi="Century"/>
          <w:sz w:val="24"/>
          <w:szCs w:val="24"/>
        </w:rPr>
        <w:t>actuaciones</w:t>
      </w:r>
      <w:r w:rsidR="00B93CD1" w:rsidRPr="002C13F3">
        <w:rPr>
          <w:rFonts w:ascii="Century" w:hAnsi="Century"/>
          <w:sz w:val="24"/>
          <w:szCs w:val="24"/>
        </w:rPr>
        <w:t xml:space="preserve"> de las</w:t>
      </w:r>
      <w:r w:rsidR="007576D5">
        <w:rPr>
          <w:rFonts w:ascii="Century" w:hAnsi="Century"/>
          <w:sz w:val="24"/>
          <w:szCs w:val="24"/>
        </w:rPr>
        <w:t xml:space="preserve"> CCAA en </w:t>
      </w:r>
      <w:r w:rsidR="006D62EF">
        <w:rPr>
          <w:rFonts w:ascii="Century" w:hAnsi="Century"/>
          <w:sz w:val="24"/>
          <w:szCs w:val="24"/>
        </w:rPr>
        <w:t xml:space="preserve">el ámbito de </w:t>
      </w:r>
      <w:r w:rsidR="007576D5">
        <w:rPr>
          <w:rFonts w:ascii="Century" w:hAnsi="Century"/>
          <w:sz w:val="24"/>
          <w:szCs w:val="24"/>
        </w:rPr>
        <w:t>los tributos cedidos, a</w:t>
      </w:r>
      <w:r w:rsidR="00B93CD1" w:rsidRPr="002C13F3">
        <w:rPr>
          <w:rFonts w:ascii="Century" w:hAnsi="Century"/>
          <w:sz w:val="24"/>
          <w:szCs w:val="24"/>
        </w:rPr>
        <w:t>l dotarles de mayores competencias normativas</w:t>
      </w:r>
      <w:r w:rsidR="007576D5">
        <w:rPr>
          <w:rFonts w:ascii="Century" w:hAnsi="Century"/>
          <w:sz w:val="24"/>
          <w:szCs w:val="24"/>
        </w:rPr>
        <w:t>,</w:t>
      </w:r>
      <w:r w:rsidR="00B93CD1" w:rsidRPr="002C13F3">
        <w:rPr>
          <w:rFonts w:ascii="Century" w:hAnsi="Century"/>
          <w:sz w:val="24"/>
          <w:szCs w:val="24"/>
        </w:rPr>
        <w:t xml:space="preserve"> y la delegación de competencias en materia de revisión económico-administrativa constituyen man</w:t>
      </w:r>
      <w:r w:rsidR="006D62EF">
        <w:rPr>
          <w:rFonts w:ascii="Century" w:hAnsi="Century"/>
          <w:sz w:val="24"/>
          <w:szCs w:val="24"/>
        </w:rPr>
        <w:t xml:space="preserve">ifestaciones claras de un </w:t>
      </w:r>
      <w:r w:rsidR="00B93CD1" w:rsidRPr="002C13F3">
        <w:rPr>
          <w:rFonts w:ascii="Century" w:hAnsi="Century"/>
          <w:sz w:val="24"/>
          <w:szCs w:val="24"/>
        </w:rPr>
        <w:t>avance en la consecución de una mayor autonomía y corresponsabilidad fiscal de las CCAA</w:t>
      </w:r>
      <w:r w:rsidR="008D5760" w:rsidRPr="002C13F3">
        <w:rPr>
          <w:rFonts w:ascii="Century" w:hAnsi="Century"/>
          <w:sz w:val="24"/>
          <w:szCs w:val="24"/>
        </w:rPr>
        <w:t>,</w:t>
      </w:r>
      <w:r w:rsidR="00B93CD1" w:rsidRPr="002C13F3">
        <w:rPr>
          <w:rFonts w:ascii="Century" w:hAnsi="Century"/>
          <w:sz w:val="24"/>
          <w:szCs w:val="24"/>
        </w:rPr>
        <w:t xml:space="preserve"> tal y como se muestra en la jurisprudencia constitucional</w:t>
      </w:r>
      <w:r w:rsidR="00B93CD1" w:rsidRPr="002C13F3">
        <w:rPr>
          <w:rStyle w:val="Refdenotaalpie"/>
          <w:rFonts w:ascii="Century" w:hAnsi="Century"/>
          <w:sz w:val="24"/>
          <w:szCs w:val="24"/>
        </w:rPr>
        <w:footnoteReference w:id="45"/>
      </w:r>
      <w:r w:rsidR="00B93CD1" w:rsidRPr="002C13F3">
        <w:rPr>
          <w:rFonts w:ascii="Century" w:hAnsi="Century"/>
          <w:sz w:val="24"/>
          <w:szCs w:val="24"/>
        </w:rPr>
        <w:t>.</w:t>
      </w:r>
      <w:r w:rsidR="006D62EF">
        <w:rPr>
          <w:rFonts w:ascii="Century" w:hAnsi="Century"/>
          <w:sz w:val="24"/>
          <w:szCs w:val="24"/>
        </w:rPr>
        <w:t xml:space="preserve"> Así, por ejemplo, la</w:t>
      </w:r>
      <w:r w:rsidR="00B93CD1" w:rsidRPr="002C13F3">
        <w:rPr>
          <w:rFonts w:ascii="Century" w:hAnsi="Century"/>
          <w:sz w:val="24"/>
          <w:szCs w:val="24"/>
        </w:rPr>
        <w:t xml:space="preserve"> STC 60/2015, de 18 de marzo de 2015, establece conforme al principio de corresponsabilidad fiscal, </w:t>
      </w:r>
      <w:r w:rsidR="006D62EF">
        <w:rPr>
          <w:rFonts w:ascii="Century" w:hAnsi="Century"/>
          <w:sz w:val="24"/>
          <w:szCs w:val="24"/>
        </w:rPr>
        <w:t xml:space="preserve">que </w:t>
      </w:r>
      <w:r w:rsidR="00B93CD1" w:rsidRPr="002C13F3">
        <w:rPr>
          <w:rFonts w:ascii="Century" w:hAnsi="Century"/>
          <w:sz w:val="24"/>
          <w:szCs w:val="24"/>
        </w:rPr>
        <w:t>las CCAA pueden fijar sus propios tributos e incurrir en algunos aspectos de los tributos estatales, al asignárseles competencias normativas asociadas al desarrollo del principio de autonomía financiera respecto a los tributos cedidos, sin modificar la reserva legal, en cuanto a los elementos esenciales cuya regulación corresponde al Estado.</w:t>
      </w:r>
    </w:p>
    <w:p w:rsidR="008F217D" w:rsidRDefault="006D62EF" w:rsidP="002D11BC">
      <w:pPr>
        <w:spacing w:after="240" w:line="360" w:lineRule="auto"/>
        <w:jc w:val="both"/>
        <w:rPr>
          <w:rFonts w:ascii="Century" w:hAnsi="Century"/>
          <w:sz w:val="24"/>
          <w:szCs w:val="24"/>
        </w:rPr>
      </w:pPr>
      <w:r>
        <w:rPr>
          <w:rFonts w:ascii="Century" w:hAnsi="Century"/>
          <w:sz w:val="24"/>
          <w:szCs w:val="24"/>
        </w:rPr>
        <w:tab/>
        <w:t>De acuerdo con lo expuesto, se ha ido</w:t>
      </w:r>
      <w:r w:rsidR="00F379D0" w:rsidRPr="002C13F3">
        <w:rPr>
          <w:rFonts w:ascii="Century" w:eastAsia="Times New Roman" w:hAnsi="Century" w:cs="Arial"/>
          <w:bCs/>
          <w:sz w:val="24"/>
          <w:szCs w:val="24"/>
        </w:rPr>
        <w:t xml:space="preserve"> avanzando en la consecución de una mayor autonomía financiera y corresponsabilidad fiscal de las CCAA, estando ambas relacionadas entre sí</w:t>
      </w:r>
      <w:r w:rsidR="00F379D0" w:rsidRPr="002C13F3">
        <w:rPr>
          <w:rFonts w:ascii="Century" w:hAnsi="Century"/>
          <w:sz w:val="24"/>
          <w:szCs w:val="24"/>
        </w:rPr>
        <w:t xml:space="preserve">. La autonomía financiera </w:t>
      </w:r>
      <w:r>
        <w:rPr>
          <w:rFonts w:ascii="Century" w:hAnsi="Century"/>
          <w:sz w:val="24"/>
          <w:szCs w:val="24"/>
        </w:rPr>
        <w:t xml:space="preserve">como </w:t>
      </w:r>
      <w:r w:rsidR="00F379D0" w:rsidRPr="002C13F3">
        <w:rPr>
          <w:rFonts w:ascii="Century" w:hAnsi="Century"/>
          <w:sz w:val="24"/>
          <w:szCs w:val="24"/>
        </w:rPr>
        <w:lastRenderedPageBreak/>
        <w:t xml:space="preserve">capacidad de las CCAA para crear “un sistema propio de recursos fuente principal de los ingresos de Derecho público”, </w:t>
      </w:r>
      <w:r>
        <w:rPr>
          <w:rFonts w:ascii="Century" w:hAnsi="Century"/>
          <w:sz w:val="24"/>
          <w:szCs w:val="24"/>
        </w:rPr>
        <w:t>encuentra en</w:t>
      </w:r>
      <w:r w:rsidR="00F379D0" w:rsidRPr="002C13F3">
        <w:rPr>
          <w:rFonts w:ascii="Century" w:hAnsi="Century"/>
          <w:sz w:val="24"/>
          <w:szCs w:val="24"/>
        </w:rPr>
        <w:t xml:space="preserve"> los tributos propios el campo de actuación de las CCAA donde mantienen una plena capacidad normativa y de gestión</w:t>
      </w:r>
      <w:r>
        <w:rPr>
          <w:rFonts w:ascii="Century" w:hAnsi="Century"/>
          <w:sz w:val="24"/>
          <w:szCs w:val="24"/>
        </w:rPr>
        <w:t>,</w:t>
      </w:r>
      <w:r w:rsidR="00F379D0" w:rsidRPr="002C13F3">
        <w:rPr>
          <w:rFonts w:ascii="Century" w:hAnsi="Century"/>
          <w:sz w:val="24"/>
          <w:szCs w:val="24"/>
        </w:rPr>
        <w:t xml:space="preserve"> respetando los límites derivados de la estructura territorial y competencial entre los distintos niveles de gobierno, como se establece en los arts. 6.2 y 6.3 de la LOFCA. En este sentido, cualquier cambio que permita una mayor flexibilidad de dichos límites supone ampliar el poder tributario de las CCAA. </w:t>
      </w:r>
      <w:r>
        <w:rPr>
          <w:rFonts w:ascii="Century" w:hAnsi="Century"/>
          <w:sz w:val="24"/>
          <w:szCs w:val="24"/>
        </w:rPr>
        <w:t>En cualquier caso</w:t>
      </w:r>
      <w:r w:rsidR="00F379D0" w:rsidRPr="002C13F3">
        <w:rPr>
          <w:rFonts w:ascii="Century" w:hAnsi="Century"/>
          <w:sz w:val="24"/>
          <w:szCs w:val="24"/>
        </w:rPr>
        <w:t>, el espacio fiscal de las CCAA se extiende considerablemente pasando éstas a ser cotitulares con el Estado de</w:t>
      </w:r>
      <w:r>
        <w:rPr>
          <w:rFonts w:ascii="Century" w:hAnsi="Century"/>
          <w:sz w:val="24"/>
          <w:szCs w:val="24"/>
        </w:rPr>
        <w:t xml:space="preserve"> los</w:t>
      </w:r>
      <w:r w:rsidR="00F379D0" w:rsidRPr="002C13F3">
        <w:rPr>
          <w:rFonts w:ascii="Century" w:hAnsi="Century"/>
          <w:sz w:val="24"/>
          <w:szCs w:val="24"/>
        </w:rPr>
        <w:t xml:space="preserve"> rendimientos cedidos de</w:t>
      </w:r>
      <w:r>
        <w:rPr>
          <w:rFonts w:ascii="Century" w:hAnsi="Century"/>
          <w:sz w:val="24"/>
          <w:szCs w:val="24"/>
        </w:rPr>
        <w:t xml:space="preserve"> sus</w:t>
      </w:r>
      <w:r w:rsidR="00F379D0" w:rsidRPr="002C13F3">
        <w:rPr>
          <w:rFonts w:ascii="Century" w:hAnsi="Century"/>
          <w:sz w:val="24"/>
          <w:szCs w:val="24"/>
        </w:rPr>
        <w:t xml:space="preserve"> tributos, en especial</w:t>
      </w:r>
      <w:r>
        <w:rPr>
          <w:rFonts w:ascii="Century" w:hAnsi="Century"/>
          <w:sz w:val="24"/>
          <w:szCs w:val="24"/>
        </w:rPr>
        <w:t xml:space="preserve"> y al objeto que nos ocupa</w:t>
      </w:r>
      <w:r w:rsidR="004B017E">
        <w:rPr>
          <w:rFonts w:ascii="Century" w:hAnsi="Century"/>
          <w:sz w:val="24"/>
          <w:szCs w:val="24"/>
        </w:rPr>
        <w:t xml:space="preserve"> de los rendimientos del ISUC</w:t>
      </w:r>
      <w:r w:rsidR="00F379D0" w:rsidRPr="002C13F3">
        <w:rPr>
          <w:rFonts w:ascii="Century" w:hAnsi="Century"/>
          <w:sz w:val="24"/>
          <w:szCs w:val="24"/>
        </w:rPr>
        <w:t>, tal y como se recoge en los arts. 25 y 26 de la Ley de Cesión</w:t>
      </w:r>
      <w:r w:rsidR="00F379D0" w:rsidRPr="002C13F3">
        <w:rPr>
          <w:rStyle w:val="Refdenotaalpie"/>
          <w:rFonts w:ascii="Century" w:hAnsi="Century"/>
          <w:sz w:val="24"/>
          <w:szCs w:val="24"/>
        </w:rPr>
        <w:footnoteReference w:id="46"/>
      </w:r>
      <w:r w:rsidR="00F379D0" w:rsidRPr="002C13F3">
        <w:rPr>
          <w:rFonts w:ascii="Century" w:hAnsi="Century"/>
          <w:sz w:val="24"/>
          <w:szCs w:val="24"/>
        </w:rPr>
        <w:t>.</w:t>
      </w:r>
    </w:p>
    <w:p w:rsidR="00674FCF" w:rsidRDefault="0078707B" w:rsidP="002D11BC">
      <w:pPr>
        <w:spacing w:after="240" w:line="360" w:lineRule="auto"/>
        <w:jc w:val="both"/>
        <w:rPr>
          <w:rFonts w:ascii="Century" w:hAnsi="Century"/>
          <w:sz w:val="24"/>
          <w:szCs w:val="24"/>
        </w:rPr>
      </w:pPr>
      <w:r w:rsidRPr="001D4ADE">
        <w:tab/>
      </w:r>
      <w:r w:rsidR="000E4B10" w:rsidRPr="001D4ADE">
        <w:rPr>
          <w:rFonts w:ascii="Century" w:hAnsi="Century"/>
          <w:sz w:val="24"/>
          <w:szCs w:val="24"/>
        </w:rPr>
        <w:t>También, e</w:t>
      </w:r>
      <w:r w:rsidRPr="001D4ADE">
        <w:rPr>
          <w:rFonts w:ascii="Century" w:hAnsi="Century"/>
          <w:sz w:val="24"/>
          <w:szCs w:val="24"/>
        </w:rPr>
        <w:t>l art. 11 de la LOFCA establece que son impuestos cedidos totalmente a las CCAA</w:t>
      </w:r>
      <w:r w:rsidRPr="001D4ADE">
        <w:rPr>
          <w:rFonts w:cstheme="minorHAnsi"/>
          <w:sz w:val="24"/>
          <w:szCs w:val="24"/>
        </w:rPr>
        <w:t>:</w:t>
      </w:r>
      <w:r w:rsidRPr="001D4ADE">
        <w:rPr>
          <w:rFonts w:ascii="Century" w:hAnsi="Century"/>
          <w:sz w:val="24"/>
          <w:szCs w:val="24"/>
        </w:rPr>
        <w:t xml:space="preserve"> Impuesto sobre el Patrimonio, </w:t>
      </w:r>
      <w:r w:rsidR="001D4ADE" w:rsidRPr="001D4ADE">
        <w:rPr>
          <w:rFonts w:ascii="Century" w:hAnsi="Century"/>
          <w:sz w:val="24"/>
          <w:szCs w:val="24"/>
        </w:rPr>
        <w:t>Impuesto sobre Sucesiones y Donaciones, Impuesto</w:t>
      </w:r>
      <w:r w:rsidRPr="001D4ADE">
        <w:rPr>
          <w:rFonts w:ascii="Century" w:hAnsi="Century"/>
          <w:sz w:val="24"/>
          <w:szCs w:val="24"/>
        </w:rPr>
        <w:t xml:space="preserve"> sobre Transmisiones Patrimoniales y Actos Jurídicos Documentados, Tributos sobre el Juego, Impuesto sobre la Electricidad, Impuesto Especial sobre Determinados Medios de Transporte</w:t>
      </w:r>
      <w:r w:rsidR="00F44BD2" w:rsidRPr="001D4ADE">
        <w:rPr>
          <w:rFonts w:ascii="Century" w:hAnsi="Century"/>
          <w:sz w:val="24"/>
          <w:szCs w:val="24"/>
        </w:rPr>
        <w:t xml:space="preserve"> y el Impuesto sobre las Ventas Minoristas de Determinados Hidrocarburos. </w:t>
      </w:r>
      <w:r w:rsidRPr="001D4ADE">
        <w:rPr>
          <w:rFonts w:ascii="Century" w:hAnsi="Century"/>
          <w:sz w:val="24"/>
          <w:szCs w:val="24"/>
        </w:rPr>
        <w:t xml:space="preserve">En cambio, son </w:t>
      </w:r>
      <w:r w:rsidR="00FD6A3F">
        <w:rPr>
          <w:rFonts w:ascii="Century" w:hAnsi="Century"/>
          <w:sz w:val="24"/>
          <w:szCs w:val="24"/>
        </w:rPr>
        <w:t xml:space="preserve">impuestos </w:t>
      </w:r>
      <w:r w:rsidRPr="001D4ADE">
        <w:rPr>
          <w:rFonts w:ascii="Century" w:hAnsi="Century"/>
          <w:sz w:val="24"/>
          <w:szCs w:val="24"/>
        </w:rPr>
        <w:t>cedidos parcialmente</w:t>
      </w:r>
      <w:r w:rsidRPr="001D5D49">
        <w:rPr>
          <w:rFonts w:cstheme="minorHAnsi"/>
          <w:sz w:val="24"/>
          <w:szCs w:val="24"/>
        </w:rPr>
        <w:t>:</w:t>
      </w:r>
      <w:r w:rsidRPr="001D4ADE">
        <w:rPr>
          <w:rFonts w:ascii="Century" w:hAnsi="Century"/>
          <w:sz w:val="24"/>
          <w:szCs w:val="24"/>
        </w:rPr>
        <w:t xml:space="preserve"> el I</w:t>
      </w:r>
      <w:r w:rsidR="001D4ADE" w:rsidRPr="001D4ADE">
        <w:rPr>
          <w:rFonts w:ascii="Century" w:hAnsi="Century"/>
          <w:sz w:val="24"/>
          <w:szCs w:val="24"/>
        </w:rPr>
        <w:t xml:space="preserve">mpuesto sobre la Renta de las Personas Físicas </w:t>
      </w:r>
      <w:r w:rsidRPr="001D4ADE">
        <w:rPr>
          <w:rFonts w:ascii="Century" w:hAnsi="Century"/>
          <w:sz w:val="24"/>
          <w:szCs w:val="24"/>
        </w:rPr>
        <w:t>(50 por ciento)</w:t>
      </w:r>
      <w:r w:rsidRPr="001D5D49">
        <w:rPr>
          <w:rFonts w:cstheme="minorHAnsi"/>
          <w:sz w:val="24"/>
          <w:szCs w:val="24"/>
        </w:rPr>
        <w:t>;</w:t>
      </w:r>
      <w:r w:rsidR="001D4ADE" w:rsidRPr="001D4ADE">
        <w:rPr>
          <w:rFonts w:ascii="Century" w:hAnsi="Century"/>
          <w:sz w:val="24"/>
          <w:szCs w:val="24"/>
        </w:rPr>
        <w:t xml:space="preserve"> Impuesto sobre el Valor Añadido</w:t>
      </w:r>
      <w:r w:rsidRPr="001D4ADE">
        <w:rPr>
          <w:rFonts w:ascii="Century" w:hAnsi="Century"/>
          <w:sz w:val="24"/>
          <w:szCs w:val="24"/>
        </w:rPr>
        <w:t xml:space="preserve"> (50 por ciento)</w:t>
      </w:r>
      <w:r w:rsidRPr="001D5D49">
        <w:rPr>
          <w:rFonts w:cstheme="minorHAnsi"/>
          <w:sz w:val="24"/>
          <w:szCs w:val="24"/>
        </w:rPr>
        <w:t>;</w:t>
      </w:r>
      <w:r w:rsidRPr="001D4ADE">
        <w:rPr>
          <w:rFonts w:ascii="Century" w:hAnsi="Century"/>
          <w:sz w:val="24"/>
          <w:szCs w:val="24"/>
        </w:rPr>
        <w:t xml:space="preserve"> Impuestos Especiales de Fabricación (58 por ciento)</w:t>
      </w:r>
      <w:r w:rsidRPr="001D5D49">
        <w:rPr>
          <w:rFonts w:cstheme="minorHAnsi"/>
          <w:sz w:val="24"/>
          <w:szCs w:val="24"/>
        </w:rPr>
        <w:t>:</w:t>
      </w:r>
      <w:r w:rsidRPr="001D4ADE">
        <w:rPr>
          <w:rFonts w:ascii="Century" w:hAnsi="Century"/>
          <w:sz w:val="24"/>
          <w:szCs w:val="24"/>
        </w:rPr>
        <w:t xml:space="preserve"> Impuesto sobre la Cerveza, Impuesto sobre el Vino y Bebidas Fermentadas, Impuesto sobre Productos Intermedios, Impuesto sobre el Alcohol y Bebidas Derivadas, Impuesto sobre Hidrocarburos, Impuesto sobre las Labores del Tabaco. No obstante,</w:t>
      </w:r>
      <w:r w:rsidR="00D72069" w:rsidRPr="001D4ADE">
        <w:rPr>
          <w:rFonts w:ascii="Century" w:hAnsi="Century"/>
          <w:sz w:val="24"/>
          <w:szCs w:val="24"/>
        </w:rPr>
        <w:t xml:space="preserve"> nos ce</w:t>
      </w:r>
      <w:r w:rsidR="002170C0" w:rsidRPr="001D4ADE">
        <w:rPr>
          <w:rFonts w:ascii="Century" w:hAnsi="Century"/>
          <w:sz w:val="24"/>
          <w:szCs w:val="24"/>
        </w:rPr>
        <w:t>ntraremos en uno de ellos, el I</w:t>
      </w:r>
      <w:r w:rsidR="004B017E">
        <w:rPr>
          <w:rFonts w:ascii="Century" w:hAnsi="Century"/>
          <w:sz w:val="24"/>
          <w:szCs w:val="24"/>
        </w:rPr>
        <w:t>SUC</w:t>
      </w:r>
      <w:r w:rsidR="00D72069" w:rsidRPr="001D4ADE">
        <w:rPr>
          <w:rFonts w:ascii="Century" w:hAnsi="Century"/>
          <w:sz w:val="24"/>
          <w:szCs w:val="24"/>
        </w:rPr>
        <w:t xml:space="preserve"> para analizar a continuación su reg</w:t>
      </w:r>
      <w:r w:rsidR="00FD6A3F">
        <w:rPr>
          <w:rFonts w:ascii="Century" w:hAnsi="Century"/>
          <w:sz w:val="24"/>
          <w:szCs w:val="24"/>
        </w:rPr>
        <w:t>ulación y los problemas que éste</w:t>
      </w:r>
      <w:r w:rsidR="00D72069" w:rsidRPr="001D4ADE">
        <w:rPr>
          <w:rFonts w:ascii="Century" w:hAnsi="Century"/>
          <w:sz w:val="24"/>
          <w:szCs w:val="24"/>
        </w:rPr>
        <w:t xml:space="preserve"> ha suscitado.</w:t>
      </w:r>
    </w:p>
    <w:p w:rsidR="00083F6D" w:rsidRDefault="00083F6D" w:rsidP="002D11BC">
      <w:pPr>
        <w:spacing w:after="240" w:line="360" w:lineRule="auto"/>
        <w:jc w:val="both"/>
        <w:rPr>
          <w:rFonts w:ascii="Century" w:hAnsi="Century"/>
          <w:sz w:val="24"/>
          <w:szCs w:val="24"/>
        </w:rPr>
      </w:pPr>
    </w:p>
    <w:p w:rsidR="00083F6D" w:rsidRPr="001D4ADE" w:rsidRDefault="00083F6D" w:rsidP="002D11BC">
      <w:pPr>
        <w:spacing w:after="240" w:line="360" w:lineRule="auto"/>
        <w:jc w:val="both"/>
        <w:rPr>
          <w:rFonts w:ascii="Century" w:hAnsi="Century"/>
          <w:sz w:val="24"/>
          <w:szCs w:val="24"/>
        </w:rPr>
      </w:pPr>
    </w:p>
    <w:p w:rsidR="00D54E3E" w:rsidRPr="002C13F3" w:rsidRDefault="00F030C0" w:rsidP="002D11BC">
      <w:pPr>
        <w:spacing w:after="240" w:line="360" w:lineRule="auto"/>
        <w:ind w:left="284"/>
        <w:jc w:val="both"/>
        <w:rPr>
          <w:rFonts w:ascii="Century" w:hAnsi="Century"/>
          <w:b/>
          <w:sz w:val="24"/>
          <w:szCs w:val="24"/>
        </w:rPr>
      </w:pPr>
      <w:r w:rsidRPr="002C13F3">
        <w:rPr>
          <w:rFonts w:ascii="Century" w:hAnsi="Century"/>
          <w:b/>
          <w:sz w:val="24"/>
          <w:szCs w:val="24"/>
        </w:rPr>
        <w:lastRenderedPageBreak/>
        <w:t>3</w:t>
      </w:r>
      <w:r w:rsidR="003126CE" w:rsidRPr="002C13F3">
        <w:rPr>
          <w:rFonts w:ascii="Century" w:hAnsi="Century"/>
          <w:b/>
          <w:sz w:val="24"/>
          <w:szCs w:val="24"/>
        </w:rPr>
        <w:t>.2. El Impuesto sobre Sucesiones como impuesto cedido</w:t>
      </w:r>
      <w:r w:rsidR="000A6F4F" w:rsidRPr="002C13F3">
        <w:rPr>
          <w:rFonts w:ascii="Century" w:hAnsi="Century"/>
          <w:b/>
          <w:sz w:val="24"/>
          <w:szCs w:val="24"/>
        </w:rPr>
        <w:t xml:space="preserve"> </w:t>
      </w:r>
    </w:p>
    <w:p w:rsidR="001E2DBC" w:rsidRPr="002C13F3" w:rsidRDefault="00B07A97" w:rsidP="002D11BC">
      <w:pPr>
        <w:spacing w:after="240" w:line="360" w:lineRule="auto"/>
        <w:jc w:val="both"/>
        <w:rPr>
          <w:rFonts w:ascii="Century" w:hAnsi="Century"/>
          <w:sz w:val="24"/>
          <w:szCs w:val="24"/>
        </w:rPr>
      </w:pPr>
      <w:r>
        <w:rPr>
          <w:rFonts w:ascii="Century" w:hAnsi="Century"/>
          <w:sz w:val="24"/>
          <w:szCs w:val="24"/>
        </w:rPr>
        <w:tab/>
        <w:t>El ISUC</w:t>
      </w:r>
      <w:r w:rsidR="00DB54E9" w:rsidRPr="002C13F3">
        <w:rPr>
          <w:rFonts w:ascii="Century" w:hAnsi="Century"/>
          <w:sz w:val="24"/>
          <w:szCs w:val="24"/>
        </w:rPr>
        <w:t xml:space="preserve"> es un tributo de titularidad estatal cedido a las CCAA. La cesión de este tributo se regula en el art. 48 de la Ley de Cesión</w:t>
      </w:r>
      <w:r w:rsidR="00D72069">
        <w:rPr>
          <w:rFonts w:ascii="Century" w:hAnsi="Century"/>
          <w:sz w:val="24"/>
          <w:szCs w:val="24"/>
        </w:rPr>
        <w:t>,</w:t>
      </w:r>
      <w:r w:rsidR="00D72069">
        <w:rPr>
          <w:rFonts w:ascii="Century" w:hAnsi="Century"/>
          <w:color w:val="FF0000"/>
          <w:sz w:val="24"/>
          <w:szCs w:val="24"/>
        </w:rPr>
        <w:t xml:space="preserve"> </w:t>
      </w:r>
      <w:r w:rsidR="00DB54E9" w:rsidRPr="002C13F3">
        <w:rPr>
          <w:rFonts w:ascii="Century" w:hAnsi="Century"/>
          <w:sz w:val="24"/>
          <w:szCs w:val="24"/>
        </w:rPr>
        <w:t>delega</w:t>
      </w:r>
      <w:r w:rsidR="00D72069">
        <w:rPr>
          <w:rFonts w:ascii="Century" w:hAnsi="Century"/>
          <w:sz w:val="24"/>
          <w:szCs w:val="24"/>
        </w:rPr>
        <w:t>n</w:t>
      </w:r>
      <w:r w:rsidR="00DB54E9" w:rsidRPr="002C13F3">
        <w:rPr>
          <w:rFonts w:ascii="Century" w:hAnsi="Century"/>
          <w:sz w:val="24"/>
          <w:szCs w:val="24"/>
        </w:rPr>
        <w:t>do</w:t>
      </w:r>
      <w:r w:rsidR="00D72069">
        <w:rPr>
          <w:rFonts w:ascii="Century" w:hAnsi="Century"/>
          <w:sz w:val="24"/>
          <w:szCs w:val="24"/>
        </w:rPr>
        <w:t xml:space="preserve"> el Estado</w:t>
      </w:r>
      <w:r w:rsidR="00DB54E9" w:rsidRPr="002C13F3">
        <w:rPr>
          <w:rFonts w:ascii="Century" w:hAnsi="Century"/>
          <w:sz w:val="24"/>
          <w:szCs w:val="24"/>
        </w:rPr>
        <w:t xml:space="preserve"> algunas competencias normativas a las CCAA</w:t>
      </w:r>
      <w:r w:rsidR="00D72069">
        <w:rPr>
          <w:rFonts w:cstheme="minorHAnsi"/>
          <w:sz w:val="24"/>
          <w:szCs w:val="24"/>
        </w:rPr>
        <w:t>;</w:t>
      </w:r>
      <w:r w:rsidR="00DB54E9" w:rsidRPr="002C13F3">
        <w:rPr>
          <w:rFonts w:ascii="Century" w:hAnsi="Century"/>
          <w:sz w:val="24"/>
          <w:szCs w:val="24"/>
        </w:rPr>
        <w:t xml:space="preserve"> tales como</w:t>
      </w:r>
      <w:r w:rsidR="00D72069" w:rsidRPr="00D72069">
        <w:rPr>
          <w:rFonts w:cstheme="minorHAnsi"/>
          <w:sz w:val="24"/>
          <w:szCs w:val="24"/>
        </w:rPr>
        <w:t>:</w:t>
      </w:r>
      <w:r w:rsidR="00DB54E9" w:rsidRPr="002C13F3">
        <w:rPr>
          <w:rFonts w:ascii="Century" w:hAnsi="Century"/>
          <w:sz w:val="24"/>
          <w:szCs w:val="24"/>
        </w:rPr>
        <w:t xml:space="preserve"> las reducciones de la base imponible, la tarifa del impuesto, las cuantías y coeficientes del patrimonio preexistente, las deducciones y bonificaciones de la cuota, así como la ges</w:t>
      </w:r>
      <w:r w:rsidR="00D72069">
        <w:rPr>
          <w:rFonts w:ascii="Century" w:hAnsi="Century"/>
          <w:sz w:val="24"/>
          <w:szCs w:val="24"/>
        </w:rPr>
        <w:t xml:space="preserve">tión y liquidación del impuesto, y su </w:t>
      </w:r>
      <w:r w:rsidR="00DB54E9" w:rsidRPr="002C13F3">
        <w:rPr>
          <w:rFonts w:ascii="Century" w:hAnsi="Century"/>
          <w:sz w:val="24"/>
          <w:szCs w:val="24"/>
        </w:rPr>
        <w:t>recaudación, tal y como se establece en el art. 56.1.a) de esta ley.</w:t>
      </w:r>
      <w:r w:rsidR="00D72069">
        <w:rPr>
          <w:rFonts w:ascii="Century" w:hAnsi="Century"/>
          <w:sz w:val="24"/>
          <w:szCs w:val="24"/>
        </w:rPr>
        <w:t xml:space="preserve"> La</w:t>
      </w:r>
      <w:r w:rsidR="00DB54E9" w:rsidRPr="002C13F3">
        <w:rPr>
          <w:rFonts w:ascii="Century" w:hAnsi="Century"/>
          <w:sz w:val="24"/>
          <w:szCs w:val="24"/>
        </w:rPr>
        <w:t xml:space="preserve"> competencia del </w:t>
      </w:r>
      <w:r w:rsidR="00DB54E9" w:rsidRPr="00AA49A3">
        <w:rPr>
          <w:rFonts w:ascii="Century" w:hAnsi="Century"/>
          <w:sz w:val="24"/>
          <w:szCs w:val="24"/>
        </w:rPr>
        <w:t xml:space="preserve">establecimiento del régimen de autoliquidación del impuesto con carácter obligatorio en las diferentes CCAA que regula el art. 48.2 de la Ley de Cesión y el art. 34.3 de la </w:t>
      </w:r>
      <w:r w:rsidR="00AA49A3" w:rsidRPr="00AA49A3">
        <w:rPr>
          <w:rFonts w:ascii="Century" w:hAnsi="Century"/>
          <w:sz w:val="24"/>
          <w:szCs w:val="24"/>
        </w:rPr>
        <w:t>Ley 29/1987, de 18 de diciembre, del Impuesto sobre Sucesiones y Donaciones (</w:t>
      </w:r>
      <w:r w:rsidR="00DB54E9" w:rsidRPr="00AA49A3">
        <w:rPr>
          <w:rFonts w:ascii="Century" w:hAnsi="Century"/>
          <w:sz w:val="24"/>
          <w:szCs w:val="24"/>
        </w:rPr>
        <w:t>LISD</w:t>
      </w:r>
      <w:r w:rsidR="00AA49A3" w:rsidRPr="00AA49A3">
        <w:rPr>
          <w:rFonts w:ascii="Century" w:hAnsi="Century"/>
          <w:sz w:val="24"/>
          <w:szCs w:val="24"/>
        </w:rPr>
        <w:t>, en adelante)</w:t>
      </w:r>
      <w:r w:rsidR="00D72069" w:rsidRPr="00AA49A3">
        <w:rPr>
          <w:rFonts w:ascii="Century" w:hAnsi="Century"/>
          <w:sz w:val="24"/>
          <w:szCs w:val="24"/>
        </w:rPr>
        <w:t>,</w:t>
      </w:r>
      <w:r w:rsidR="00DB54E9" w:rsidRPr="00AA49A3">
        <w:rPr>
          <w:rFonts w:ascii="Century" w:hAnsi="Century"/>
          <w:sz w:val="24"/>
          <w:szCs w:val="24"/>
        </w:rPr>
        <w:t xml:space="preserve"> se la ha reservado el Estado para sí mismo. Las competencias</w:t>
      </w:r>
      <w:r w:rsidR="00DB54E9" w:rsidRPr="002C13F3">
        <w:rPr>
          <w:rFonts w:ascii="Century" w:hAnsi="Century"/>
          <w:sz w:val="24"/>
          <w:szCs w:val="24"/>
        </w:rPr>
        <w:t xml:space="preserve"> normativas cedidas se desarrollan a continuac</w:t>
      </w:r>
      <w:r w:rsidR="00D72069">
        <w:rPr>
          <w:rFonts w:ascii="Century" w:hAnsi="Century"/>
          <w:sz w:val="24"/>
          <w:szCs w:val="24"/>
        </w:rPr>
        <w:t>ión, no sin antes explicar algunas cuestiones generales del impuest</w:t>
      </w:r>
      <w:r w:rsidR="00DB54E9" w:rsidRPr="002C13F3">
        <w:rPr>
          <w:rFonts w:ascii="Century" w:hAnsi="Century"/>
          <w:sz w:val="24"/>
          <w:szCs w:val="24"/>
        </w:rPr>
        <w:t>o</w:t>
      </w:r>
      <w:r w:rsidR="001D4ADE">
        <w:rPr>
          <w:rFonts w:ascii="Century" w:hAnsi="Century"/>
          <w:sz w:val="24"/>
          <w:szCs w:val="24"/>
        </w:rPr>
        <w:t>.</w:t>
      </w:r>
    </w:p>
    <w:p w:rsidR="00DB54E9" w:rsidRPr="002C13F3" w:rsidRDefault="00DB54E9" w:rsidP="002D11BC">
      <w:pPr>
        <w:spacing w:after="240" w:line="360" w:lineRule="auto"/>
        <w:ind w:left="708"/>
        <w:jc w:val="both"/>
        <w:rPr>
          <w:rFonts w:ascii="Century" w:hAnsi="Century"/>
          <w:b/>
          <w:sz w:val="24"/>
          <w:szCs w:val="24"/>
        </w:rPr>
      </w:pPr>
      <w:r w:rsidRPr="002C13F3">
        <w:rPr>
          <w:rFonts w:ascii="Century" w:hAnsi="Century"/>
          <w:b/>
          <w:sz w:val="24"/>
          <w:szCs w:val="24"/>
        </w:rPr>
        <w:t xml:space="preserve">3.2.1. Cuestiones generales </w:t>
      </w:r>
    </w:p>
    <w:p w:rsidR="00DB54E9" w:rsidRPr="00AA49A3" w:rsidRDefault="00AA49A3" w:rsidP="002D11BC">
      <w:pPr>
        <w:pStyle w:val="Prrafodelista"/>
        <w:spacing w:after="240" w:line="360" w:lineRule="auto"/>
        <w:ind w:left="0"/>
        <w:jc w:val="both"/>
        <w:rPr>
          <w:rFonts w:ascii="Century" w:hAnsi="Century"/>
          <w:sz w:val="24"/>
          <w:szCs w:val="24"/>
        </w:rPr>
      </w:pPr>
      <w:r>
        <w:rPr>
          <w:rFonts w:ascii="Century" w:hAnsi="Century"/>
          <w:b/>
        </w:rPr>
        <w:tab/>
      </w:r>
      <w:r w:rsidR="00DB54E9" w:rsidRPr="00AA49A3">
        <w:rPr>
          <w:rFonts w:ascii="Century" w:hAnsi="Century"/>
          <w:sz w:val="24"/>
          <w:szCs w:val="24"/>
        </w:rPr>
        <w:t>En nuestr</w:t>
      </w:r>
      <w:r w:rsidR="00B07A97">
        <w:rPr>
          <w:rFonts w:ascii="Century" w:hAnsi="Century"/>
          <w:sz w:val="24"/>
          <w:szCs w:val="24"/>
        </w:rPr>
        <w:t>o ordenamiento jurídico, el ISUC</w:t>
      </w:r>
      <w:r w:rsidR="00DB54E9" w:rsidRPr="00AA49A3">
        <w:rPr>
          <w:rFonts w:ascii="Century" w:hAnsi="Century"/>
          <w:sz w:val="24"/>
          <w:szCs w:val="24"/>
        </w:rPr>
        <w:t xml:space="preserve"> nació como instrumento redistribuidor de la renta y la riqueza. Su predecesor, el Impuesto General sobre las Sucesiones fue creado por la Ley 41/1967, de 11 de junio, de Reforma del Sistema Tributario, y continuó vigente sin apenas modificaciones hasta 1988, fecha </w:t>
      </w:r>
      <w:r w:rsidR="00B07A97">
        <w:rPr>
          <w:rFonts w:ascii="Century" w:hAnsi="Century"/>
          <w:sz w:val="24"/>
          <w:szCs w:val="24"/>
        </w:rPr>
        <w:t>en la que entró en vigor el ISUC</w:t>
      </w:r>
      <w:r w:rsidR="00DB54E9" w:rsidRPr="00AA49A3">
        <w:rPr>
          <w:rFonts w:ascii="Century" w:hAnsi="Century"/>
          <w:sz w:val="24"/>
          <w:szCs w:val="24"/>
        </w:rPr>
        <w:t xml:space="preserve"> actual, mediante la aprobación de la LISD como gravamen único para las sucesiones y donaciones. Más tarde</w:t>
      </w:r>
      <w:r w:rsidR="00D72069" w:rsidRPr="00AA49A3">
        <w:rPr>
          <w:rFonts w:ascii="Century" w:hAnsi="Century"/>
          <w:sz w:val="24"/>
          <w:szCs w:val="24"/>
        </w:rPr>
        <w:t>, en 1991</w:t>
      </w:r>
      <w:r w:rsidR="00DB54E9" w:rsidRPr="00AA49A3">
        <w:rPr>
          <w:rFonts w:ascii="Century" w:hAnsi="Century"/>
          <w:sz w:val="24"/>
          <w:szCs w:val="24"/>
        </w:rPr>
        <w:t xml:space="preserve"> se aprobó el </w:t>
      </w:r>
      <w:r w:rsidRPr="00AA49A3">
        <w:rPr>
          <w:rFonts w:ascii="Century" w:hAnsi="Century"/>
          <w:sz w:val="24"/>
          <w:szCs w:val="24"/>
        </w:rPr>
        <w:t>Real Decreto 1629/1991, de 8 de noviembre, por el que se aprueba el Reglamento del Impuesto sobre Sucesiones y Donaciones</w:t>
      </w:r>
      <w:r>
        <w:rPr>
          <w:rFonts w:ascii="Century" w:hAnsi="Century"/>
          <w:sz w:val="24"/>
          <w:szCs w:val="24"/>
        </w:rPr>
        <w:t xml:space="preserve"> (</w:t>
      </w:r>
      <w:r w:rsidR="00DB54E9" w:rsidRPr="00AA49A3">
        <w:rPr>
          <w:rFonts w:ascii="Century" w:hAnsi="Century"/>
          <w:sz w:val="24"/>
          <w:szCs w:val="24"/>
        </w:rPr>
        <w:t>RISD</w:t>
      </w:r>
      <w:r>
        <w:rPr>
          <w:rFonts w:ascii="Century" w:hAnsi="Century"/>
          <w:sz w:val="24"/>
          <w:szCs w:val="24"/>
        </w:rPr>
        <w:t>)</w:t>
      </w:r>
      <w:r w:rsidR="00DB54E9" w:rsidRPr="00AA49A3">
        <w:rPr>
          <w:rFonts w:ascii="Century" w:hAnsi="Century"/>
          <w:sz w:val="24"/>
          <w:szCs w:val="24"/>
        </w:rPr>
        <w:t>.</w:t>
      </w:r>
    </w:p>
    <w:p w:rsidR="00DB54E9" w:rsidRPr="002C13F3" w:rsidRDefault="00DB54E9" w:rsidP="002D11BC">
      <w:pPr>
        <w:spacing w:after="240" w:line="360" w:lineRule="auto"/>
        <w:jc w:val="both"/>
        <w:rPr>
          <w:rFonts w:ascii="Century" w:hAnsi="Century"/>
          <w:color w:val="FF0000"/>
          <w:sz w:val="24"/>
          <w:szCs w:val="24"/>
        </w:rPr>
      </w:pPr>
      <w:r w:rsidRPr="002C13F3">
        <w:rPr>
          <w:rFonts w:ascii="Century" w:hAnsi="Century"/>
          <w:sz w:val="24"/>
          <w:szCs w:val="24"/>
        </w:rPr>
        <w:tab/>
        <w:t xml:space="preserve">Conforme a lo que indican el art. 1 de la LISD y el art. 1 del RISD, se trata de un tributo de naturaleza directa y subjetiva que grava los incrementos patrimoniales obtenidos a título lucrativo por personas físicas. Es decir, grava manifestaciones de riqueza en el patrimonio aumentando la capacidad económica del sujeto pasivo por la adquisición de bienes, teniendo </w:t>
      </w:r>
      <w:r w:rsidRPr="002C13F3">
        <w:rPr>
          <w:rFonts w:ascii="Century" w:hAnsi="Century"/>
          <w:sz w:val="24"/>
          <w:szCs w:val="24"/>
        </w:rPr>
        <w:lastRenderedPageBreak/>
        <w:t>en cuenta las características personales de los sujetos pasivos, las relaciones familiares entre el causante y el beneficiario, la edad</w:t>
      </w:r>
      <w:r w:rsidR="007D119A">
        <w:rPr>
          <w:rFonts w:ascii="Century" w:hAnsi="Century"/>
          <w:sz w:val="24"/>
          <w:szCs w:val="24"/>
        </w:rPr>
        <w:t>,</w:t>
      </w:r>
      <w:r w:rsidRPr="002C13F3">
        <w:rPr>
          <w:rFonts w:ascii="Century" w:hAnsi="Century"/>
          <w:sz w:val="24"/>
          <w:szCs w:val="24"/>
        </w:rPr>
        <w:t xml:space="preserve"> y otra</w:t>
      </w:r>
      <w:r w:rsidR="007D119A">
        <w:rPr>
          <w:rFonts w:ascii="Century" w:hAnsi="Century"/>
          <w:sz w:val="24"/>
          <w:szCs w:val="24"/>
        </w:rPr>
        <w:t>s</w:t>
      </w:r>
      <w:r w:rsidRPr="002C13F3">
        <w:rPr>
          <w:rFonts w:ascii="Century" w:hAnsi="Century"/>
          <w:sz w:val="24"/>
          <w:szCs w:val="24"/>
        </w:rPr>
        <w:t xml:space="preserve"> circunstancia</w:t>
      </w:r>
      <w:r w:rsidR="007D119A">
        <w:rPr>
          <w:rFonts w:ascii="Century" w:hAnsi="Century"/>
          <w:sz w:val="24"/>
          <w:szCs w:val="24"/>
        </w:rPr>
        <w:t>s personales que</w:t>
      </w:r>
      <w:r w:rsidRPr="002C13F3">
        <w:rPr>
          <w:rFonts w:ascii="Century" w:hAnsi="Century"/>
          <w:sz w:val="24"/>
          <w:szCs w:val="24"/>
        </w:rPr>
        <w:t xml:space="preserve"> </w:t>
      </w:r>
      <w:r w:rsidR="007D119A">
        <w:rPr>
          <w:rFonts w:ascii="Century" w:hAnsi="Century"/>
          <w:sz w:val="24"/>
          <w:szCs w:val="24"/>
        </w:rPr>
        <w:t xml:space="preserve">deben </w:t>
      </w:r>
      <w:r w:rsidRPr="002C13F3">
        <w:rPr>
          <w:rFonts w:ascii="Century" w:hAnsi="Century"/>
          <w:sz w:val="24"/>
          <w:szCs w:val="24"/>
        </w:rPr>
        <w:t>tenerse en cuenta para calcular la deuda tributaria.</w:t>
      </w:r>
      <w:r w:rsidR="007D119A">
        <w:rPr>
          <w:rFonts w:ascii="Century" w:hAnsi="Century"/>
          <w:sz w:val="24"/>
          <w:szCs w:val="24"/>
        </w:rPr>
        <w:t xml:space="preserve"> El impuesto se exige </w:t>
      </w:r>
      <w:r w:rsidRPr="002C13F3">
        <w:rPr>
          <w:rFonts w:ascii="Century" w:hAnsi="Century"/>
          <w:sz w:val="24"/>
          <w:szCs w:val="24"/>
        </w:rPr>
        <w:t>en todo el territorio español, sin perjuicio de los regímenes tributarios forales del País Vasco y Navarra, tal y como establece el art. 2 de la LISD y el art. 5 del RISD.</w:t>
      </w:r>
      <w:r w:rsidRPr="002C13F3">
        <w:rPr>
          <w:rFonts w:ascii="Century" w:hAnsi="Century"/>
          <w:color w:val="FF0000"/>
          <w:sz w:val="24"/>
          <w:szCs w:val="24"/>
        </w:rPr>
        <w:t xml:space="preserve"> </w:t>
      </w:r>
    </w:p>
    <w:p w:rsidR="00DB54E9" w:rsidRPr="002C13F3" w:rsidRDefault="00DB54E9" w:rsidP="001D4ADE">
      <w:pPr>
        <w:spacing w:after="240" w:line="360" w:lineRule="auto"/>
        <w:ind w:firstLine="708"/>
        <w:jc w:val="both"/>
        <w:rPr>
          <w:rFonts w:ascii="Century" w:hAnsi="Century"/>
          <w:sz w:val="24"/>
          <w:szCs w:val="24"/>
        </w:rPr>
      </w:pPr>
      <w:r w:rsidRPr="002C13F3">
        <w:rPr>
          <w:rFonts w:ascii="Century" w:hAnsi="Century"/>
          <w:sz w:val="24"/>
          <w:szCs w:val="24"/>
        </w:rPr>
        <w:t>Este impuesto, como regula el art. 3 de la LISD y el art. 10 del</w:t>
      </w:r>
      <w:r w:rsidR="006B6B9A">
        <w:rPr>
          <w:rFonts w:ascii="Century" w:hAnsi="Century"/>
          <w:sz w:val="24"/>
          <w:szCs w:val="24"/>
        </w:rPr>
        <w:t xml:space="preserve"> RISD, grava las adquisiciones </w:t>
      </w:r>
      <w:r w:rsidR="006B6B9A" w:rsidRPr="006B6B9A">
        <w:rPr>
          <w:rFonts w:ascii="Century" w:hAnsi="Century"/>
          <w:i/>
          <w:sz w:val="24"/>
          <w:szCs w:val="24"/>
        </w:rPr>
        <w:t>mortis causa</w:t>
      </w:r>
      <w:r w:rsidRPr="006B6B9A">
        <w:rPr>
          <w:rFonts w:ascii="Century" w:hAnsi="Century"/>
          <w:i/>
          <w:sz w:val="24"/>
          <w:szCs w:val="24"/>
        </w:rPr>
        <w:t xml:space="preserve"> </w:t>
      </w:r>
      <w:r w:rsidRPr="002C13F3">
        <w:rPr>
          <w:rFonts w:ascii="Century" w:hAnsi="Century"/>
          <w:sz w:val="24"/>
          <w:szCs w:val="24"/>
        </w:rPr>
        <w:t>de bienes y derechos por herencia</w:t>
      </w:r>
      <w:r w:rsidR="007D119A">
        <w:rPr>
          <w:rFonts w:ascii="Century" w:hAnsi="Century"/>
          <w:sz w:val="24"/>
          <w:szCs w:val="24"/>
        </w:rPr>
        <w:t xml:space="preserve"> (entendiéndose realizadas el día del fallecimiento del causante)</w:t>
      </w:r>
      <w:r w:rsidRPr="002C13F3">
        <w:rPr>
          <w:rFonts w:ascii="Century" w:hAnsi="Century"/>
          <w:sz w:val="24"/>
          <w:szCs w:val="24"/>
        </w:rPr>
        <w:t>, legado o cualquier otro título sucesorio</w:t>
      </w:r>
      <w:r w:rsidRPr="00EC29FC">
        <w:rPr>
          <w:rFonts w:cstheme="minorHAnsi"/>
          <w:sz w:val="24"/>
          <w:szCs w:val="24"/>
        </w:rPr>
        <w:t>;</w:t>
      </w:r>
      <w:r w:rsidR="006B6B9A">
        <w:rPr>
          <w:rFonts w:ascii="Century" w:hAnsi="Century"/>
          <w:sz w:val="24"/>
          <w:szCs w:val="24"/>
        </w:rPr>
        <w:t xml:space="preserve"> las adquisiciones </w:t>
      </w:r>
      <w:r w:rsidR="006B6B9A" w:rsidRPr="006B6B9A">
        <w:rPr>
          <w:rFonts w:ascii="Century" w:hAnsi="Century"/>
          <w:i/>
          <w:sz w:val="24"/>
          <w:szCs w:val="24"/>
        </w:rPr>
        <w:t>inter vivos</w:t>
      </w:r>
      <w:r w:rsidRPr="002C13F3">
        <w:rPr>
          <w:rFonts w:ascii="Century" w:hAnsi="Century"/>
          <w:sz w:val="24"/>
          <w:szCs w:val="24"/>
        </w:rPr>
        <w:t xml:space="preserve"> de bienes y derechos por donación o cualquier otro negoc</w:t>
      </w:r>
      <w:r w:rsidR="007D119A">
        <w:rPr>
          <w:rFonts w:ascii="Century" w:hAnsi="Century"/>
          <w:sz w:val="24"/>
          <w:szCs w:val="24"/>
        </w:rPr>
        <w:t>io jurídico a título gratuito, así como</w:t>
      </w:r>
      <w:r w:rsidRPr="002C13F3">
        <w:rPr>
          <w:rFonts w:ascii="Century" w:hAnsi="Century"/>
          <w:sz w:val="24"/>
          <w:szCs w:val="24"/>
        </w:rPr>
        <w:t xml:space="preserve"> las percepciones de cantidades por los beneficiarios de contratos de seguros sobre la</w:t>
      </w:r>
      <w:r w:rsidR="007D119A">
        <w:rPr>
          <w:rFonts w:ascii="Century" w:hAnsi="Century"/>
          <w:sz w:val="24"/>
          <w:szCs w:val="24"/>
        </w:rPr>
        <w:t xml:space="preserve"> vida, cuando el contratante es</w:t>
      </w:r>
      <w:r w:rsidRPr="002C13F3">
        <w:rPr>
          <w:rFonts w:ascii="Century" w:hAnsi="Century"/>
          <w:sz w:val="24"/>
          <w:szCs w:val="24"/>
        </w:rPr>
        <w:t xml:space="preserve"> persona distinta </w:t>
      </w:r>
      <w:r w:rsidR="007D119A">
        <w:rPr>
          <w:rFonts w:ascii="Century" w:hAnsi="Century"/>
          <w:sz w:val="24"/>
          <w:szCs w:val="24"/>
        </w:rPr>
        <w:t>del beneficiario. Se presume</w:t>
      </w:r>
      <w:r w:rsidRPr="002C13F3">
        <w:rPr>
          <w:rFonts w:ascii="Century" w:hAnsi="Century"/>
          <w:sz w:val="24"/>
          <w:szCs w:val="24"/>
        </w:rPr>
        <w:t xml:space="preserve"> la existencia de una transmisión lucrativa cuando </w:t>
      </w:r>
      <w:r w:rsidR="007D119A">
        <w:rPr>
          <w:rFonts w:ascii="Century" w:hAnsi="Century"/>
          <w:sz w:val="24"/>
          <w:szCs w:val="24"/>
        </w:rPr>
        <w:t>resultara</w:t>
      </w:r>
      <w:r w:rsidRPr="002C13F3">
        <w:rPr>
          <w:rFonts w:ascii="Century" w:hAnsi="Century"/>
          <w:sz w:val="24"/>
          <w:szCs w:val="24"/>
        </w:rPr>
        <w:t xml:space="preserve"> la disminución del patrimonio de una persona y simultáneamente o con posterioridad el incremento patrimonial correspondiente en el cónyuge, descendientes, herederos o legatarios, como se regula en el art. 4 de la LISD y el art. 15 del RISD. En las adquisiciones a título oneroso realizadas por los ascendientes como representantes de los descendientes menores de edad, se presumirá la existencia de una transmisión lucrativa a favor de éstos por el valor de los bienes o derechos transmitidos. </w:t>
      </w:r>
    </w:p>
    <w:p w:rsidR="007D119A" w:rsidRPr="002C13F3" w:rsidRDefault="007D119A" w:rsidP="002D11BC">
      <w:pPr>
        <w:pStyle w:val="Textonotapie"/>
        <w:spacing w:after="240" w:line="360" w:lineRule="auto"/>
        <w:jc w:val="both"/>
        <w:rPr>
          <w:rFonts w:ascii="Century" w:hAnsi="Century"/>
        </w:rPr>
      </w:pPr>
      <w:r>
        <w:rPr>
          <w:rFonts w:ascii="Century" w:hAnsi="Century"/>
          <w:sz w:val="24"/>
          <w:szCs w:val="24"/>
        </w:rPr>
        <w:tab/>
      </w:r>
      <w:r w:rsidR="00DB54E9" w:rsidRPr="002C13F3">
        <w:rPr>
          <w:rFonts w:ascii="Century" w:hAnsi="Century"/>
          <w:sz w:val="24"/>
          <w:szCs w:val="24"/>
        </w:rPr>
        <w:t xml:space="preserve">El art. 5 de la LISD y el art. 16 del RISD </w:t>
      </w:r>
      <w:r>
        <w:rPr>
          <w:rFonts w:ascii="Century" w:hAnsi="Century"/>
          <w:sz w:val="24"/>
          <w:szCs w:val="24"/>
        </w:rPr>
        <w:t xml:space="preserve">señalan que </w:t>
      </w:r>
      <w:r w:rsidR="00DB54E9" w:rsidRPr="002C13F3">
        <w:rPr>
          <w:rFonts w:ascii="Century" w:hAnsi="Century"/>
          <w:sz w:val="24"/>
          <w:szCs w:val="24"/>
        </w:rPr>
        <w:t xml:space="preserve">son obligados al pago del </w:t>
      </w:r>
      <w:r w:rsidR="00DB54E9" w:rsidRPr="007D119A">
        <w:rPr>
          <w:rFonts w:ascii="Century" w:hAnsi="Century"/>
          <w:sz w:val="24"/>
          <w:szCs w:val="24"/>
        </w:rPr>
        <w:t>impuesto los causahabientes (herederos o legatarios) o, en su caso, los responsables subsidiarios</w:t>
      </w:r>
      <w:r>
        <w:rPr>
          <w:rStyle w:val="Refdenotaalpie"/>
          <w:rFonts w:ascii="Century" w:hAnsi="Century"/>
          <w:sz w:val="24"/>
          <w:szCs w:val="24"/>
        </w:rPr>
        <w:footnoteReference w:id="47"/>
      </w:r>
      <w:r w:rsidR="00DB54E9" w:rsidRPr="007D119A">
        <w:rPr>
          <w:rFonts w:ascii="Century" w:hAnsi="Century"/>
          <w:sz w:val="24"/>
          <w:szCs w:val="24"/>
        </w:rPr>
        <w:t>.</w:t>
      </w:r>
      <w:r w:rsidRPr="007D119A">
        <w:rPr>
          <w:rFonts w:ascii="Century" w:hAnsi="Century"/>
          <w:sz w:val="24"/>
          <w:szCs w:val="24"/>
        </w:rPr>
        <w:t xml:space="preserve"> Como bien hace mención el art. 3.2 de la LISD y el art. 1 del RISD, la obtención de incrementos patrimoniales referentes a este impuesto por parte de personas jurídicas no queda sujeta a este impuesto, sino que se somete al Impuesto sobre Sociedades. Por otro </w:t>
      </w:r>
      <w:r w:rsidRPr="007D119A">
        <w:rPr>
          <w:rFonts w:ascii="Century" w:hAnsi="Century"/>
          <w:sz w:val="24"/>
          <w:szCs w:val="24"/>
        </w:rPr>
        <w:lastRenderedPageBreak/>
        <w:t xml:space="preserve">lado, en ningún caso, un mismo incremento de patrimonio podrá ser gravado </w:t>
      </w:r>
      <w:r w:rsidR="002170C0">
        <w:rPr>
          <w:rFonts w:ascii="Century" w:hAnsi="Century"/>
          <w:sz w:val="24"/>
          <w:szCs w:val="24"/>
        </w:rPr>
        <w:t>por el I</w:t>
      </w:r>
      <w:r w:rsidR="00B07A97">
        <w:rPr>
          <w:rFonts w:ascii="Century" w:hAnsi="Century"/>
          <w:sz w:val="24"/>
          <w:szCs w:val="24"/>
        </w:rPr>
        <w:t>SUC</w:t>
      </w:r>
      <w:r w:rsidRPr="007D119A">
        <w:rPr>
          <w:rFonts w:ascii="Century" w:hAnsi="Century"/>
          <w:sz w:val="24"/>
          <w:szCs w:val="24"/>
        </w:rPr>
        <w:t xml:space="preserve"> y por el IRPF, como señala el art. 4 del RISD. El art. 2 de la RISD</w:t>
      </w:r>
      <w:r w:rsidRPr="007D119A">
        <w:rPr>
          <w:rFonts w:cstheme="minorHAnsi"/>
          <w:sz w:val="24"/>
          <w:szCs w:val="24"/>
        </w:rPr>
        <w:t xml:space="preserve">: </w:t>
      </w:r>
      <w:r w:rsidRPr="007D119A">
        <w:rPr>
          <w:rFonts w:ascii="Century" w:hAnsi="Century"/>
          <w:sz w:val="24"/>
          <w:szCs w:val="24"/>
        </w:rPr>
        <w:t>“Es un incremento de patrimonio sujeto al Impuesto sobre Sucesiones y Donaciones toda incorporación de bienes y derechos que se produzca en el patrimonio de una persona física cuando tenga su causa en la realización de alguno de los hechos imponibles configurados en la Ley y en este Reglamento como determinantes del nacimiento de la obligación tributaria”.</w:t>
      </w:r>
    </w:p>
    <w:p w:rsidR="00DB54E9" w:rsidRDefault="000D3835" w:rsidP="001D4ADE">
      <w:pPr>
        <w:spacing w:after="240" w:line="360" w:lineRule="auto"/>
        <w:ind w:firstLine="708"/>
        <w:jc w:val="both"/>
        <w:rPr>
          <w:rFonts w:ascii="Century" w:hAnsi="Century"/>
          <w:sz w:val="24"/>
          <w:szCs w:val="24"/>
        </w:rPr>
      </w:pPr>
      <w:r>
        <w:rPr>
          <w:rFonts w:ascii="Century" w:eastAsiaTheme="minorHAnsi" w:hAnsi="Century"/>
          <w:sz w:val="24"/>
          <w:szCs w:val="24"/>
          <w:lang w:eastAsia="en-US"/>
        </w:rPr>
        <w:t>L</w:t>
      </w:r>
      <w:r w:rsidR="00DB54E9" w:rsidRPr="002C13F3">
        <w:rPr>
          <w:rFonts w:ascii="Century" w:eastAsiaTheme="minorHAnsi" w:hAnsi="Century"/>
          <w:sz w:val="24"/>
          <w:szCs w:val="24"/>
          <w:lang w:eastAsia="en-US"/>
        </w:rPr>
        <w:t>a</w:t>
      </w:r>
      <w:r w:rsidR="00DB54E9" w:rsidRPr="002C13F3">
        <w:rPr>
          <w:rFonts w:ascii="Century" w:hAnsi="Century"/>
          <w:sz w:val="24"/>
          <w:szCs w:val="24"/>
        </w:rPr>
        <w:t xml:space="preserve"> legislación diferencia entre la obligación personal y la obligación real de contribuir, basándose para ello en el criterio de la residencia. En la primera, regulada en el art. 6 de la LISD y el art. 17 del RISD, se exigirá el impuesto a los contribuyentes que tengan su residencia habitual en España por la totalidad de bienes y derechos que adquieran, con independencia de dónde se encuentren situados los mismos. En la segunda, regulada en el art. 7 de la L</w:t>
      </w:r>
      <w:r>
        <w:rPr>
          <w:rFonts w:ascii="Century" w:hAnsi="Century"/>
          <w:sz w:val="24"/>
          <w:szCs w:val="24"/>
        </w:rPr>
        <w:t>ISD y el art. 18 del RISD, se</w:t>
      </w:r>
      <w:r w:rsidR="00DB54E9" w:rsidRPr="002C13F3">
        <w:rPr>
          <w:rFonts w:ascii="Century" w:hAnsi="Century"/>
          <w:sz w:val="24"/>
          <w:szCs w:val="24"/>
        </w:rPr>
        <w:t xml:space="preserve"> exigirá el impuesto a los contribuyentes que no tengan su residencia habitual en territorio español, </w:t>
      </w:r>
      <w:r>
        <w:rPr>
          <w:rFonts w:ascii="Century" w:hAnsi="Century"/>
          <w:sz w:val="24"/>
          <w:szCs w:val="24"/>
        </w:rPr>
        <w:t>tributando sólo</w:t>
      </w:r>
      <w:r w:rsidR="00DB54E9" w:rsidRPr="002C13F3">
        <w:rPr>
          <w:rFonts w:ascii="Century" w:hAnsi="Century"/>
          <w:sz w:val="24"/>
          <w:szCs w:val="24"/>
        </w:rPr>
        <w:t xml:space="preserve"> por aquellos bienes y derechos que se adquieran </w:t>
      </w:r>
      <w:r w:rsidR="00DB54E9" w:rsidRPr="002C13F3">
        <w:rPr>
          <w:rFonts w:ascii="Century" w:hAnsi="Century"/>
          <w:i/>
          <w:sz w:val="24"/>
          <w:szCs w:val="24"/>
        </w:rPr>
        <w:t>mortis causa</w:t>
      </w:r>
      <w:r w:rsidR="00DB54E9" w:rsidRPr="002C13F3">
        <w:rPr>
          <w:rFonts w:ascii="Century" w:hAnsi="Century"/>
          <w:sz w:val="24"/>
          <w:szCs w:val="24"/>
        </w:rPr>
        <w:t xml:space="preserve"> y que estuvieran situados, pudieran ejercitarse o hubieran de cumplirse en territorio español, </w:t>
      </w:r>
      <w:r w:rsidR="00DB54E9" w:rsidRPr="002C13F3">
        <w:rPr>
          <w:rFonts w:ascii="Century" w:eastAsiaTheme="minorHAnsi" w:hAnsi="Century"/>
          <w:sz w:val="24"/>
          <w:szCs w:val="24"/>
          <w:lang w:eastAsia="en-US"/>
        </w:rPr>
        <w:t xml:space="preserve">así como por la percepción de cantidades derivadas de contratos de seguros sobre la vida cuando el contrato haya sido realizado con entidades aseguradoras españolas o se haya celebrado en </w:t>
      </w:r>
      <w:r w:rsidR="00083F6D">
        <w:rPr>
          <w:rFonts w:ascii="Century" w:eastAsiaTheme="minorHAnsi" w:hAnsi="Century"/>
          <w:sz w:val="24"/>
          <w:szCs w:val="24"/>
          <w:lang w:eastAsia="en-US"/>
        </w:rPr>
        <w:t>territorio español</w:t>
      </w:r>
      <w:r w:rsidR="00DB54E9" w:rsidRPr="002C13F3">
        <w:rPr>
          <w:rFonts w:ascii="Century" w:eastAsiaTheme="minorHAnsi" w:hAnsi="Century"/>
          <w:sz w:val="24"/>
          <w:szCs w:val="24"/>
          <w:lang w:eastAsia="en-US"/>
        </w:rPr>
        <w:t xml:space="preserve"> con entidades extranjeras que operen en ella</w:t>
      </w:r>
      <w:r w:rsidR="00DB54E9" w:rsidRPr="002C13F3">
        <w:rPr>
          <w:rFonts w:ascii="Century" w:hAnsi="Century"/>
          <w:sz w:val="24"/>
          <w:szCs w:val="24"/>
        </w:rPr>
        <w:t xml:space="preserve">. De esta manera, la residencia se convierte </w:t>
      </w:r>
      <w:r w:rsidR="00B07A97">
        <w:rPr>
          <w:rFonts w:ascii="Century" w:hAnsi="Century"/>
          <w:sz w:val="24"/>
          <w:szCs w:val="24"/>
        </w:rPr>
        <w:t>en el punto de conexión del ISUC</w:t>
      </w:r>
      <w:r w:rsidR="00DB54E9" w:rsidRPr="002C13F3">
        <w:rPr>
          <w:rFonts w:ascii="Century" w:hAnsi="Century"/>
          <w:sz w:val="24"/>
          <w:szCs w:val="24"/>
        </w:rPr>
        <w:t xml:space="preserve"> con el territorio.</w:t>
      </w:r>
      <w:r>
        <w:rPr>
          <w:rFonts w:ascii="Century" w:hAnsi="Century"/>
          <w:sz w:val="24"/>
          <w:szCs w:val="24"/>
        </w:rPr>
        <w:t xml:space="preserve"> </w:t>
      </w:r>
    </w:p>
    <w:p w:rsidR="001D4ADE" w:rsidRPr="001D4ADE" w:rsidRDefault="00A44DDB" w:rsidP="002D11BC">
      <w:pPr>
        <w:spacing w:after="240" w:line="360" w:lineRule="auto"/>
        <w:jc w:val="both"/>
        <w:rPr>
          <w:rFonts w:ascii="Century" w:hAnsi="Century"/>
          <w:sz w:val="24"/>
          <w:szCs w:val="24"/>
        </w:rPr>
      </w:pPr>
      <w:r>
        <w:rPr>
          <w:rFonts w:ascii="Century" w:hAnsi="Century"/>
          <w:sz w:val="24"/>
          <w:szCs w:val="24"/>
        </w:rPr>
        <w:tab/>
      </w:r>
      <w:r w:rsidRPr="001D4ADE">
        <w:rPr>
          <w:rFonts w:ascii="Century" w:hAnsi="Century"/>
          <w:sz w:val="24"/>
          <w:szCs w:val="24"/>
        </w:rPr>
        <w:t>Tal y como establece el art. 23 de la LISD y el art. 46 del RISD, con respecto a la deducción por doble imposición internacional, los contribuyentes que estén sujetos al impuesto por obligación personal tendrán derecho a deducir la menor de las dos cantidades siguientes</w:t>
      </w:r>
      <w:r w:rsidRPr="001D4ADE">
        <w:rPr>
          <w:rFonts w:cstheme="minorHAnsi"/>
          <w:sz w:val="24"/>
          <w:szCs w:val="24"/>
        </w:rPr>
        <w:t>:</w:t>
      </w:r>
      <w:r w:rsidRPr="001D4ADE">
        <w:rPr>
          <w:rFonts w:ascii="Century" w:hAnsi="Century" w:cstheme="minorHAnsi"/>
          <w:sz w:val="24"/>
          <w:szCs w:val="24"/>
        </w:rPr>
        <w:t xml:space="preserve"> el importe satisfecho en el extranjero por razón de un impuesto similar que afecte al incremento patrimonial sometido a gravamen en territorio español, o el resultado de aplicar el tipo medio de este impuesto al incremento patrimonial correspondiente a bienes que ra</w:t>
      </w:r>
      <w:r w:rsidRPr="001D4ADE">
        <w:rPr>
          <w:rFonts w:ascii="Century" w:hAnsi="Century"/>
          <w:sz w:val="24"/>
          <w:szCs w:val="24"/>
        </w:rPr>
        <w:t xml:space="preserve">diquen o derechos que puedan </w:t>
      </w:r>
      <w:r w:rsidRPr="001D4ADE">
        <w:rPr>
          <w:rFonts w:ascii="Century" w:hAnsi="Century"/>
          <w:sz w:val="24"/>
          <w:szCs w:val="24"/>
        </w:rPr>
        <w:lastRenderedPageBreak/>
        <w:t xml:space="preserve">ser ejercitados fuera </w:t>
      </w:r>
      <w:r w:rsidR="00B07155">
        <w:rPr>
          <w:rFonts w:ascii="Century" w:hAnsi="Century"/>
          <w:sz w:val="24"/>
          <w:szCs w:val="24"/>
        </w:rPr>
        <w:t>del territorio español</w:t>
      </w:r>
      <w:r w:rsidRPr="001D4ADE">
        <w:rPr>
          <w:rFonts w:ascii="Century" w:hAnsi="Century"/>
          <w:sz w:val="24"/>
          <w:szCs w:val="24"/>
        </w:rPr>
        <w:t>, cuando hubiesen sido sometidos a gravamen en el extranjero por un impuesto similar.</w:t>
      </w:r>
      <w:r w:rsidR="003D4FAF" w:rsidRPr="001D4ADE">
        <w:rPr>
          <w:rFonts w:ascii="Century" w:hAnsi="Century"/>
          <w:sz w:val="24"/>
          <w:szCs w:val="24"/>
        </w:rPr>
        <w:t xml:space="preserve"> </w:t>
      </w:r>
      <w:r w:rsidRPr="001D4ADE">
        <w:rPr>
          <w:rFonts w:ascii="Century" w:hAnsi="Century"/>
          <w:sz w:val="24"/>
          <w:szCs w:val="24"/>
        </w:rPr>
        <w:t>En este caso, los residentes en territorio español que acepten herencias o legados de causantes residentes</w:t>
      </w:r>
      <w:r w:rsidR="00B07155">
        <w:rPr>
          <w:rFonts w:ascii="Century" w:hAnsi="Century"/>
          <w:sz w:val="24"/>
          <w:szCs w:val="24"/>
        </w:rPr>
        <w:t xml:space="preserve"> en otro Estado miembro de la Unión</w:t>
      </w:r>
      <w:r w:rsidR="000B5271" w:rsidRPr="001D4ADE">
        <w:rPr>
          <w:rFonts w:ascii="Century" w:hAnsi="Century"/>
          <w:sz w:val="24"/>
          <w:szCs w:val="24"/>
        </w:rPr>
        <w:t xml:space="preserve">, </w:t>
      </w:r>
      <w:r w:rsidR="00B07155">
        <w:rPr>
          <w:rFonts w:ascii="Century" w:hAnsi="Century"/>
          <w:sz w:val="24"/>
          <w:szCs w:val="24"/>
        </w:rPr>
        <w:t xml:space="preserve">con independencia </w:t>
      </w:r>
      <w:r w:rsidR="000B5271" w:rsidRPr="001D4ADE">
        <w:rPr>
          <w:rFonts w:ascii="Century" w:hAnsi="Century"/>
          <w:sz w:val="24"/>
          <w:szCs w:val="24"/>
        </w:rPr>
        <w:t xml:space="preserve">de la tributación de este Estado, tienen derecho a la aplicación de la normativa propia aprobada por la Comunidad Autónoma en donde se encuentre el mayor valor de los bienes y derechos de la herencia situados en </w:t>
      </w:r>
      <w:r w:rsidR="00B07155">
        <w:rPr>
          <w:rFonts w:ascii="Century" w:hAnsi="Century"/>
          <w:sz w:val="24"/>
          <w:szCs w:val="24"/>
        </w:rPr>
        <w:t>España</w:t>
      </w:r>
      <w:r w:rsidR="000B5271" w:rsidRPr="001D4ADE">
        <w:rPr>
          <w:rFonts w:ascii="Century" w:hAnsi="Century"/>
          <w:sz w:val="24"/>
          <w:szCs w:val="24"/>
        </w:rPr>
        <w:t xml:space="preserve"> y, si no hubiera ningún bien o derecho situado en </w:t>
      </w:r>
      <w:r w:rsidR="00B07155">
        <w:rPr>
          <w:rFonts w:ascii="Century" w:hAnsi="Century"/>
          <w:sz w:val="24"/>
          <w:szCs w:val="24"/>
        </w:rPr>
        <w:t>territorio español</w:t>
      </w:r>
      <w:r w:rsidR="000B5271" w:rsidRPr="001D4ADE">
        <w:rPr>
          <w:rFonts w:ascii="Century" w:hAnsi="Century"/>
          <w:sz w:val="24"/>
          <w:szCs w:val="24"/>
        </w:rPr>
        <w:t>, a la aplicación de la normativa de la Comunidad Autónoma donde resida.</w:t>
      </w:r>
    </w:p>
    <w:p w:rsidR="001D4ADE" w:rsidRDefault="00DB54E9" w:rsidP="002D11BC">
      <w:pPr>
        <w:pStyle w:val="HTMLconformatoprevio"/>
        <w:tabs>
          <w:tab w:val="clear" w:pos="916"/>
          <w:tab w:val="left" w:pos="709"/>
        </w:tabs>
        <w:spacing w:after="240" w:line="360" w:lineRule="auto"/>
        <w:jc w:val="both"/>
        <w:rPr>
          <w:rFonts w:cstheme="minorHAnsi"/>
          <w:sz w:val="24"/>
          <w:szCs w:val="24"/>
        </w:rPr>
      </w:pPr>
      <w:r w:rsidRPr="002C13F3">
        <w:rPr>
          <w:rFonts w:ascii="Century" w:eastAsiaTheme="minorHAnsi" w:hAnsi="Century" w:cstheme="minorBidi"/>
          <w:sz w:val="24"/>
          <w:szCs w:val="24"/>
          <w:lang w:eastAsia="en-US"/>
        </w:rPr>
        <w:tab/>
        <w:t xml:space="preserve">Para la </w:t>
      </w:r>
      <w:r w:rsidRPr="00A44DDB">
        <w:rPr>
          <w:rFonts w:ascii="Century" w:eastAsiaTheme="minorHAnsi" w:hAnsi="Century" w:cstheme="minorBidi"/>
          <w:sz w:val="24"/>
          <w:szCs w:val="24"/>
          <w:lang w:eastAsia="en-US"/>
        </w:rPr>
        <w:t xml:space="preserve">determinación de la residencia habitual se estará a </w:t>
      </w:r>
      <w:r w:rsidR="00A44DDB" w:rsidRPr="00A44DDB">
        <w:rPr>
          <w:rFonts w:ascii="Century" w:eastAsiaTheme="minorHAnsi" w:hAnsi="Century" w:cstheme="minorBidi"/>
          <w:sz w:val="24"/>
          <w:szCs w:val="24"/>
          <w:lang w:eastAsia="en-US"/>
        </w:rPr>
        <w:t xml:space="preserve">lo establecido en el art. 9 de la </w:t>
      </w:r>
      <w:r w:rsidR="00A44DDB" w:rsidRPr="00A44DDB">
        <w:rPr>
          <w:rFonts w:ascii="Century" w:hAnsi="Century"/>
          <w:sz w:val="24"/>
          <w:szCs w:val="24"/>
        </w:rPr>
        <w:t>Ley 35/2006, de 28 de noviembre, del Impuesto sobre la Renta de las Personas Físicas y de modificación parcial de las leyes de los Impuestos sobre Sociedades, sobre la Renta de no Residentes y sobre el Patrimonio</w:t>
      </w:r>
      <w:r w:rsidRPr="00A44DDB">
        <w:rPr>
          <w:rFonts w:ascii="Century" w:eastAsiaTheme="minorHAnsi" w:hAnsi="Century" w:cstheme="minorBidi"/>
          <w:sz w:val="24"/>
          <w:szCs w:val="24"/>
          <w:lang w:eastAsia="en-US"/>
        </w:rPr>
        <w:t xml:space="preserve">. </w:t>
      </w:r>
      <w:r w:rsidR="000D3835" w:rsidRPr="00A44DDB">
        <w:rPr>
          <w:rFonts w:ascii="Century" w:eastAsiaTheme="minorHAnsi" w:hAnsi="Century" w:cstheme="minorBidi"/>
          <w:sz w:val="24"/>
          <w:szCs w:val="24"/>
          <w:lang w:eastAsia="en-US"/>
        </w:rPr>
        <w:t>Así, s</w:t>
      </w:r>
      <w:r w:rsidRPr="00A44DDB">
        <w:rPr>
          <w:rFonts w:ascii="Century" w:eastAsiaTheme="minorHAnsi" w:hAnsi="Century" w:cstheme="minorBidi"/>
          <w:sz w:val="24"/>
          <w:szCs w:val="24"/>
          <w:lang w:eastAsia="en-US"/>
        </w:rPr>
        <w:t>e considera que un contribuyente tiene su residencia habitual en España</w:t>
      </w:r>
      <w:r w:rsidRPr="002C13F3">
        <w:rPr>
          <w:rFonts w:ascii="Century" w:eastAsiaTheme="minorHAnsi" w:hAnsi="Century" w:cstheme="minorBidi"/>
          <w:sz w:val="24"/>
          <w:szCs w:val="24"/>
          <w:lang w:eastAsia="en-US"/>
        </w:rPr>
        <w:t xml:space="preserve"> cuando permanezca más de 183 días, durante un año natural, en territorio español o radique en España el núcleo de sus actividades o intereses económicos. </w:t>
      </w:r>
      <w:r w:rsidRPr="002C13F3">
        <w:rPr>
          <w:rFonts w:ascii="Century" w:hAnsi="Century"/>
          <w:sz w:val="24"/>
          <w:szCs w:val="24"/>
        </w:rPr>
        <w:t xml:space="preserve">Los sujetos pasivos contribuyentes tributarán, en definitiva, según el criterio de la residencia. De este modo, habría que diferenciar varios supuestos </w:t>
      </w:r>
      <w:r w:rsidR="000D3835">
        <w:rPr>
          <w:rFonts w:ascii="Century" w:hAnsi="Century"/>
          <w:sz w:val="24"/>
          <w:szCs w:val="24"/>
        </w:rPr>
        <w:t>según</w:t>
      </w:r>
      <w:r w:rsidRPr="002C13F3">
        <w:rPr>
          <w:rFonts w:ascii="Century" w:hAnsi="Century"/>
          <w:sz w:val="24"/>
          <w:szCs w:val="24"/>
        </w:rPr>
        <w:t xml:space="preserve"> que el causante tenga o no biene</w:t>
      </w:r>
      <w:r w:rsidR="000D3835">
        <w:rPr>
          <w:rFonts w:ascii="Century" w:hAnsi="Century"/>
          <w:sz w:val="24"/>
          <w:szCs w:val="24"/>
        </w:rPr>
        <w:t>s en España y el causahabiente sea</w:t>
      </w:r>
      <w:r w:rsidR="0057505C">
        <w:rPr>
          <w:rFonts w:ascii="Century" w:hAnsi="Century"/>
          <w:sz w:val="24"/>
          <w:szCs w:val="24"/>
        </w:rPr>
        <w:t xml:space="preserve"> o no residente en España. </w:t>
      </w:r>
      <w:r w:rsidR="000D3835">
        <w:rPr>
          <w:rFonts w:ascii="Century" w:hAnsi="Century"/>
          <w:sz w:val="24"/>
          <w:szCs w:val="24"/>
        </w:rPr>
        <w:t>Para analizar estos supuestos de un mo</w:t>
      </w:r>
      <w:r w:rsidR="0057505C">
        <w:rPr>
          <w:rFonts w:ascii="Century" w:hAnsi="Century"/>
          <w:sz w:val="24"/>
          <w:szCs w:val="24"/>
        </w:rPr>
        <w:t>do más claro</w:t>
      </w:r>
      <w:r w:rsidR="000D3835">
        <w:rPr>
          <w:rFonts w:ascii="Century" w:hAnsi="Century"/>
          <w:sz w:val="24"/>
          <w:szCs w:val="24"/>
        </w:rPr>
        <w:t xml:space="preserve"> recogemos en la siguiente tabla</w:t>
      </w:r>
      <w:r w:rsidR="0057505C">
        <w:rPr>
          <w:rFonts w:ascii="Century" w:hAnsi="Century"/>
          <w:sz w:val="24"/>
          <w:szCs w:val="24"/>
        </w:rPr>
        <w:t xml:space="preserve"> todos los supuestos que se pueden dar </w:t>
      </w:r>
      <w:r w:rsidR="000D3835">
        <w:rPr>
          <w:rFonts w:ascii="Century" w:hAnsi="Century"/>
          <w:sz w:val="24"/>
          <w:szCs w:val="24"/>
        </w:rPr>
        <w:t>al respecto</w:t>
      </w:r>
      <w:r w:rsidR="0057505C" w:rsidRPr="00514069">
        <w:rPr>
          <w:rFonts w:cstheme="minorHAnsi"/>
          <w:sz w:val="24"/>
          <w:szCs w:val="24"/>
        </w:rPr>
        <w:t>:</w:t>
      </w:r>
    </w:p>
    <w:p w:rsidR="00A27BBA" w:rsidRDefault="00A27BBA" w:rsidP="002D11BC">
      <w:pPr>
        <w:pStyle w:val="HTMLconformatoprevio"/>
        <w:tabs>
          <w:tab w:val="clear" w:pos="916"/>
          <w:tab w:val="left" w:pos="709"/>
        </w:tabs>
        <w:spacing w:after="240" w:line="360" w:lineRule="auto"/>
        <w:jc w:val="both"/>
        <w:rPr>
          <w:rFonts w:cstheme="minorHAnsi"/>
          <w:sz w:val="24"/>
          <w:szCs w:val="24"/>
        </w:rPr>
      </w:pPr>
    </w:p>
    <w:p w:rsidR="00A27BBA" w:rsidRDefault="00A27BBA" w:rsidP="002D11BC">
      <w:pPr>
        <w:pStyle w:val="HTMLconformatoprevio"/>
        <w:tabs>
          <w:tab w:val="clear" w:pos="916"/>
          <w:tab w:val="left" w:pos="709"/>
        </w:tabs>
        <w:spacing w:after="240" w:line="360" w:lineRule="auto"/>
        <w:jc w:val="both"/>
        <w:rPr>
          <w:rFonts w:cstheme="minorHAnsi"/>
          <w:sz w:val="24"/>
          <w:szCs w:val="24"/>
        </w:rPr>
      </w:pPr>
    </w:p>
    <w:p w:rsidR="00083F6D" w:rsidRDefault="00083F6D" w:rsidP="002D11BC">
      <w:pPr>
        <w:pStyle w:val="HTMLconformatoprevio"/>
        <w:tabs>
          <w:tab w:val="clear" w:pos="916"/>
          <w:tab w:val="left" w:pos="709"/>
        </w:tabs>
        <w:spacing w:after="240" w:line="360" w:lineRule="auto"/>
        <w:jc w:val="both"/>
        <w:rPr>
          <w:rFonts w:cstheme="minorHAnsi"/>
          <w:sz w:val="24"/>
          <w:szCs w:val="24"/>
        </w:rPr>
      </w:pPr>
    </w:p>
    <w:p w:rsidR="00083F6D" w:rsidRDefault="00083F6D" w:rsidP="002D11BC">
      <w:pPr>
        <w:pStyle w:val="HTMLconformatoprevio"/>
        <w:tabs>
          <w:tab w:val="clear" w:pos="916"/>
          <w:tab w:val="left" w:pos="709"/>
        </w:tabs>
        <w:spacing w:after="240" w:line="360" w:lineRule="auto"/>
        <w:jc w:val="both"/>
        <w:rPr>
          <w:rFonts w:cstheme="minorHAnsi"/>
          <w:sz w:val="24"/>
          <w:szCs w:val="24"/>
        </w:rPr>
      </w:pPr>
    </w:p>
    <w:p w:rsidR="00083F6D" w:rsidRDefault="00083F6D" w:rsidP="002D11BC">
      <w:pPr>
        <w:pStyle w:val="HTMLconformatoprevio"/>
        <w:tabs>
          <w:tab w:val="clear" w:pos="916"/>
          <w:tab w:val="left" w:pos="709"/>
        </w:tabs>
        <w:spacing w:after="240" w:line="360" w:lineRule="auto"/>
        <w:jc w:val="both"/>
        <w:rPr>
          <w:rFonts w:cstheme="minorHAnsi"/>
          <w:sz w:val="24"/>
          <w:szCs w:val="24"/>
        </w:rPr>
      </w:pPr>
    </w:p>
    <w:p w:rsidR="00AD3AF1" w:rsidRPr="004A76CF" w:rsidRDefault="00DB54E9" w:rsidP="002D11BC">
      <w:pPr>
        <w:spacing w:after="240" w:line="360" w:lineRule="auto"/>
        <w:jc w:val="both"/>
        <w:rPr>
          <w:rFonts w:ascii="Century" w:hAnsi="Century"/>
          <w:sz w:val="2"/>
          <w:szCs w:val="2"/>
        </w:rPr>
      </w:pPr>
      <w:r w:rsidRPr="002C13F3">
        <w:rPr>
          <w:rFonts w:ascii="Century" w:hAnsi="Century"/>
          <w:sz w:val="24"/>
          <w:szCs w:val="24"/>
        </w:rPr>
        <w:tab/>
      </w:r>
    </w:p>
    <w:p w:rsidR="003126CE" w:rsidRPr="002C13F3" w:rsidRDefault="00AD3AF1" w:rsidP="009F3811">
      <w:pPr>
        <w:spacing w:after="0" w:line="360" w:lineRule="auto"/>
        <w:jc w:val="both"/>
        <w:rPr>
          <w:rFonts w:ascii="Century" w:hAnsi="Century"/>
          <w:sz w:val="24"/>
          <w:szCs w:val="24"/>
        </w:rPr>
      </w:pPr>
      <w:r>
        <w:rPr>
          <w:rFonts w:ascii="Century" w:hAnsi="Century"/>
          <w:sz w:val="24"/>
          <w:szCs w:val="24"/>
        </w:rPr>
        <w:lastRenderedPageBreak/>
        <w:tab/>
      </w:r>
      <w:r w:rsidR="00DB54E9" w:rsidRPr="002C13F3">
        <w:rPr>
          <w:rFonts w:ascii="Century" w:hAnsi="Century"/>
          <w:sz w:val="24"/>
          <w:szCs w:val="24"/>
        </w:rPr>
        <w:t xml:space="preserve">A) </w:t>
      </w:r>
      <w:r w:rsidR="003126CE" w:rsidRPr="002C13F3">
        <w:rPr>
          <w:rFonts w:ascii="Century" w:hAnsi="Century"/>
          <w:sz w:val="24"/>
          <w:szCs w:val="24"/>
        </w:rPr>
        <w:t>Si el causante tiene bienes en España</w:t>
      </w:r>
      <w:r w:rsidR="003126CE" w:rsidRPr="00514069">
        <w:rPr>
          <w:rFonts w:cstheme="minorHAnsi"/>
          <w:sz w:val="24"/>
          <w:szCs w:val="24"/>
        </w:rPr>
        <w:t>:</w:t>
      </w:r>
      <w:r w:rsidR="003126CE" w:rsidRPr="002C13F3">
        <w:rPr>
          <w:rFonts w:ascii="Century" w:hAnsi="Century"/>
          <w:sz w:val="24"/>
          <w:szCs w:val="24"/>
        </w:rPr>
        <w:t xml:space="preserve"> </w:t>
      </w:r>
    </w:p>
    <w:tbl>
      <w:tblPr>
        <w:tblStyle w:val="Tablaconcuadrcula"/>
        <w:tblW w:w="8732" w:type="dxa"/>
        <w:jc w:val="center"/>
        <w:tblLayout w:type="fixed"/>
        <w:tblLook w:val="04A0"/>
      </w:tblPr>
      <w:tblGrid>
        <w:gridCol w:w="1655"/>
        <w:gridCol w:w="2396"/>
        <w:gridCol w:w="2372"/>
        <w:gridCol w:w="2309"/>
      </w:tblGrid>
      <w:tr w:rsidR="003126CE" w:rsidRPr="00083F6D" w:rsidTr="009F3811">
        <w:trPr>
          <w:trHeight w:val="1283"/>
          <w:jc w:val="center"/>
        </w:trPr>
        <w:tc>
          <w:tcPr>
            <w:tcW w:w="1664" w:type="dxa"/>
          </w:tcPr>
          <w:p w:rsidR="003126CE" w:rsidRPr="00083F6D" w:rsidRDefault="003126CE" w:rsidP="00083F6D">
            <w:pPr>
              <w:spacing w:after="240" w:line="276" w:lineRule="auto"/>
              <w:jc w:val="both"/>
              <w:rPr>
                <w:rFonts w:ascii="Century" w:eastAsia="Times New Roman" w:hAnsi="Century" w:cs="Times New Roman"/>
                <w:bCs/>
                <w:sz w:val="18"/>
                <w:szCs w:val="18"/>
                <w:lang w:eastAsia="es-ES"/>
              </w:rPr>
            </w:pPr>
          </w:p>
        </w:tc>
        <w:tc>
          <w:tcPr>
            <w:tcW w:w="2410" w:type="dxa"/>
          </w:tcPr>
          <w:p w:rsidR="003126CE" w:rsidRPr="00083F6D" w:rsidRDefault="003126CE" w:rsidP="009F3811">
            <w:pPr>
              <w:spacing w:after="240" w:line="276" w:lineRule="auto"/>
              <w:jc w:val="center"/>
              <w:rPr>
                <w:rFonts w:ascii="Century" w:eastAsia="Times New Roman" w:hAnsi="Century" w:cs="Times New Roman"/>
                <w:b/>
                <w:bCs/>
                <w:sz w:val="18"/>
                <w:szCs w:val="18"/>
                <w:lang w:eastAsia="es-ES"/>
              </w:rPr>
            </w:pPr>
            <w:r w:rsidRPr="00083F6D">
              <w:rPr>
                <w:rFonts w:ascii="Century" w:eastAsia="Times New Roman" w:hAnsi="Century" w:cs="Times New Roman"/>
                <w:b/>
                <w:bCs/>
                <w:sz w:val="18"/>
                <w:szCs w:val="18"/>
                <w:lang w:eastAsia="es-ES"/>
              </w:rPr>
              <w:t>Causante residente en España</w:t>
            </w:r>
          </w:p>
        </w:tc>
        <w:tc>
          <w:tcPr>
            <w:tcW w:w="2385" w:type="dxa"/>
          </w:tcPr>
          <w:p w:rsidR="003126CE" w:rsidRPr="00083F6D" w:rsidRDefault="003126CE" w:rsidP="009F3811">
            <w:pPr>
              <w:spacing w:after="240" w:line="276" w:lineRule="auto"/>
              <w:jc w:val="center"/>
              <w:rPr>
                <w:rFonts w:ascii="Century" w:eastAsia="Times New Roman" w:hAnsi="Century" w:cs="Times New Roman"/>
                <w:b/>
                <w:bCs/>
                <w:sz w:val="18"/>
                <w:szCs w:val="18"/>
                <w:lang w:eastAsia="es-ES"/>
              </w:rPr>
            </w:pPr>
            <w:r w:rsidRPr="00083F6D">
              <w:rPr>
                <w:rFonts w:ascii="Century" w:eastAsia="Times New Roman" w:hAnsi="Century" w:cs="Times New Roman"/>
                <w:b/>
                <w:bCs/>
                <w:sz w:val="18"/>
                <w:szCs w:val="18"/>
                <w:lang w:eastAsia="es-ES"/>
              </w:rPr>
              <w:t>Causante no residente en España y dentro de la UE</w:t>
            </w:r>
          </w:p>
        </w:tc>
        <w:tc>
          <w:tcPr>
            <w:tcW w:w="2322" w:type="dxa"/>
          </w:tcPr>
          <w:p w:rsidR="003126CE" w:rsidRPr="00083F6D" w:rsidRDefault="003126CE" w:rsidP="009F3811">
            <w:pPr>
              <w:spacing w:after="240" w:line="276" w:lineRule="auto"/>
              <w:jc w:val="center"/>
              <w:rPr>
                <w:rFonts w:ascii="Century" w:eastAsia="Times New Roman" w:hAnsi="Century" w:cs="Times New Roman"/>
                <w:b/>
                <w:bCs/>
                <w:sz w:val="18"/>
                <w:szCs w:val="18"/>
                <w:lang w:eastAsia="es-ES"/>
              </w:rPr>
            </w:pPr>
            <w:r w:rsidRPr="00083F6D">
              <w:rPr>
                <w:rFonts w:ascii="Century" w:eastAsia="Times New Roman" w:hAnsi="Century" w:cs="Times New Roman"/>
                <w:b/>
                <w:bCs/>
                <w:sz w:val="18"/>
                <w:szCs w:val="18"/>
                <w:lang w:eastAsia="es-ES"/>
              </w:rPr>
              <w:t>Causante no residente en España y fuera de la UE (residente de cualquier otro país del mundo)</w:t>
            </w:r>
          </w:p>
        </w:tc>
      </w:tr>
      <w:tr w:rsidR="003126CE" w:rsidRPr="00083F6D" w:rsidTr="009F3811">
        <w:trPr>
          <w:trHeight w:val="2764"/>
          <w:jc w:val="center"/>
        </w:trPr>
        <w:tc>
          <w:tcPr>
            <w:tcW w:w="1664" w:type="dxa"/>
          </w:tcPr>
          <w:p w:rsidR="003126CE" w:rsidRPr="00083F6D" w:rsidRDefault="00953D4A" w:rsidP="009F3811">
            <w:pPr>
              <w:spacing w:after="240" w:line="276" w:lineRule="auto"/>
              <w:rPr>
                <w:rFonts w:ascii="Century" w:eastAsia="Times New Roman" w:hAnsi="Century" w:cs="Times New Roman"/>
                <w:b/>
                <w:bCs/>
                <w:sz w:val="18"/>
                <w:szCs w:val="18"/>
                <w:lang w:eastAsia="es-ES"/>
              </w:rPr>
            </w:pPr>
            <w:r w:rsidRPr="00083F6D">
              <w:rPr>
                <w:rFonts w:ascii="Century" w:eastAsia="Times New Roman" w:hAnsi="Century" w:cs="Times New Roman"/>
                <w:b/>
                <w:bCs/>
                <w:sz w:val="18"/>
                <w:szCs w:val="18"/>
                <w:lang w:eastAsia="es-ES"/>
              </w:rPr>
              <w:t>Causahabiente</w:t>
            </w:r>
            <w:r w:rsidR="003126CE" w:rsidRPr="00083F6D">
              <w:rPr>
                <w:rFonts w:ascii="Century" w:eastAsia="Times New Roman" w:hAnsi="Century" w:cs="Times New Roman"/>
                <w:b/>
                <w:bCs/>
                <w:sz w:val="18"/>
                <w:szCs w:val="18"/>
                <w:lang w:eastAsia="es-ES"/>
              </w:rPr>
              <w:t xml:space="preserve"> residente en España</w:t>
            </w:r>
          </w:p>
        </w:tc>
        <w:tc>
          <w:tcPr>
            <w:tcW w:w="2410" w:type="dxa"/>
          </w:tcPr>
          <w:p w:rsidR="003126CE" w:rsidRPr="00083F6D" w:rsidRDefault="003126CE" w:rsidP="009F3811">
            <w:pPr>
              <w:spacing w:line="276" w:lineRule="auto"/>
              <w:jc w:val="both"/>
              <w:rPr>
                <w:rFonts w:ascii="Century" w:eastAsia="Times New Roman" w:hAnsi="Century" w:cs="Times New Roman"/>
                <w:color w:val="000000"/>
                <w:sz w:val="18"/>
                <w:szCs w:val="18"/>
                <w:lang w:eastAsia="es-ES"/>
              </w:rPr>
            </w:pPr>
            <w:r w:rsidRPr="00083F6D">
              <w:rPr>
                <w:rFonts w:ascii="Century" w:eastAsia="Times New Roman" w:hAnsi="Century" w:cs="Times New Roman"/>
                <w:color w:val="000000"/>
                <w:sz w:val="18"/>
                <w:szCs w:val="18"/>
                <w:lang w:eastAsia="es-ES"/>
              </w:rPr>
              <w:t xml:space="preserve">El heredero tributa y paga en España por el valor de los bienes situados en todo el mundo. Aplica la normativa de aquella Comunidad Autónoma en la que el causante tenía su residencia. Puede deducirse las cantidades pagadas fuera </w:t>
            </w:r>
            <w:r w:rsidR="005F144D" w:rsidRPr="00083F6D">
              <w:rPr>
                <w:rFonts w:ascii="Century" w:eastAsia="Times New Roman" w:hAnsi="Century" w:cs="Times New Roman"/>
                <w:color w:val="000000"/>
                <w:sz w:val="18"/>
                <w:szCs w:val="18"/>
                <w:lang w:eastAsia="es-ES"/>
              </w:rPr>
              <w:t>de España.</w:t>
            </w:r>
          </w:p>
        </w:tc>
        <w:tc>
          <w:tcPr>
            <w:tcW w:w="2385" w:type="dxa"/>
          </w:tcPr>
          <w:p w:rsidR="003126CE" w:rsidRPr="00083F6D" w:rsidRDefault="003126CE" w:rsidP="009F3811">
            <w:pPr>
              <w:spacing w:line="276" w:lineRule="auto"/>
              <w:jc w:val="both"/>
              <w:rPr>
                <w:rFonts w:ascii="Century" w:eastAsia="Times New Roman" w:hAnsi="Century" w:cs="Times New Roman"/>
                <w:color w:val="000000"/>
                <w:sz w:val="18"/>
                <w:szCs w:val="18"/>
                <w:lang w:eastAsia="es-ES"/>
              </w:rPr>
            </w:pPr>
            <w:r w:rsidRPr="00083F6D">
              <w:rPr>
                <w:rFonts w:ascii="Century" w:eastAsia="Times New Roman" w:hAnsi="Century" w:cs="Times New Roman"/>
                <w:color w:val="000000"/>
                <w:sz w:val="18"/>
                <w:szCs w:val="18"/>
                <w:lang w:eastAsia="es-ES"/>
              </w:rPr>
              <w:t>El heredero tributa y paga en España por el valor de los bienes situados en todo el mundo. Aplica la normativa de aquella Comunidad Autónoma en la que se encuentre la mayor parte del valor de los bienes situados en territorio español.</w:t>
            </w:r>
          </w:p>
        </w:tc>
        <w:tc>
          <w:tcPr>
            <w:tcW w:w="2322" w:type="dxa"/>
          </w:tcPr>
          <w:p w:rsidR="003126CE" w:rsidRPr="00083F6D" w:rsidRDefault="003126CE" w:rsidP="009F3811">
            <w:pPr>
              <w:spacing w:line="276" w:lineRule="auto"/>
              <w:jc w:val="both"/>
              <w:rPr>
                <w:rFonts w:ascii="Century" w:eastAsia="Times New Roman" w:hAnsi="Century" w:cs="Times New Roman"/>
                <w:bCs/>
                <w:color w:val="0000FF"/>
                <w:sz w:val="18"/>
                <w:szCs w:val="18"/>
                <w:lang w:eastAsia="es-ES"/>
              </w:rPr>
            </w:pPr>
            <w:r w:rsidRPr="00083F6D">
              <w:rPr>
                <w:rFonts w:ascii="Century" w:eastAsia="Times New Roman" w:hAnsi="Century" w:cs="Times New Roman"/>
                <w:color w:val="000000"/>
                <w:sz w:val="18"/>
                <w:szCs w:val="18"/>
                <w:lang w:eastAsia="es-ES"/>
              </w:rPr>
              <w:t>El heredero tributa y paga en España por el valor de los bienes situados en todo el mundo. Aplica la normativa estatal.</w:t>
            </w:r>
          </w:p>
        </w:tc>
      </w:tr>
      <w:tr w:rsidR="003126CE" w:rsidRPr="00083F6D" w:rsidTr="009F3811">
        <w:trPr>
          <w:trHeight w:val="2183"/>
          <w:jc w:val="center"/>
        </w:trPr>
        <w:tc>
          <w:tcPr>
            <w:tcW w:w="1664" w:type="dxa"/>
          </w:tcPr>
          <w:p w:rsidR="003126CE" w:rsidRPr="00083F6D" w:rsidRDefault="00953D4A" w:rsidP="009F3811">
            <w:pPr>
              <w:spacing w:line="276" w:lineRule="auto"/>
              <w:rPr>
                <w:rFonts w:ascii="Century" w:eastAsia="Times New Roman" w:hAnsi="Century" w:cs="Times New Roman"/>
                <w:b/>
                <w:bCs/>
                <w:sz w:val="18"/>
                <w:szCs w:val="18"/>
                <w:lang w:eastAsia="es-ES"/>
              </w:rPr>
            </w:pPr>
            <w:r w:rsidRPr="00083F6D">
              <w:rPr>
                <w:rFonts w:ascii="Century" w:eastAsia="Times New Roman" w:hAnsi="Century" w:cs="Times New Roman"/>
                <w:b/>
                <w:bCs/>
                <w:sz w:val="18"/>
                <w:szCs w:val="18"/>
                <w:lang w:eastAsia="es-ES"/>
              </w:rPr>
              <w:t>Causahabiente</w:t>
            </w:r>
            <w:r w:rsidR="003126CE" w:rsidRPr="00083F6D">
              <w:rPr>
                <w:rFonts w:ascii="Century" w:eastAsia="Times New Roman" w:hAnsi="Century" w:cs="Times New Roman"/>
                <w:b/>
                <w:bCs/>
                <w:sz w:val="18"/>
                <w:szCs w:val="18"/>
                <w:lang w:eastAsia="es-ES"/>
              </w:rPr>
              <w:t xml:space="preserve"> no residente en España</w:t>
            </w:r>
          </w:p>
        </w:tc>
        <w:tc>
          <w:tcPr>
            <w:tcW w:w="2410" w:type="dxa"/>
          </w:tcPr>
          <w:p w:rsidR="003126CE" w:rsidRPr="00083F6D" w:rsidRDefault="003126CE" w:rsidP="009F3811">
            <w:pPr>
              <w:spacing w:line="276" w:lineRule="auto"/>
              <w:jc w:val="both"/>
              <w:rPr>
                <w:rFonts w:ascii="Century" w:eastAsia="Times New Roman" w:hAnsi="Century" w:cs="Times New Roman"/>
                <w:color w:val="000000"/>
                <w:sz w:val="18"/>
                <w:szCs w:val="18"/>
                <w:lang w:eastAsia="es-ES"/>
              </w:rPr>
            </w:pPr>
            <w:r w:rsidRPr="00083F6D">
              <w:rPr>
                <w:rFonts w:ascii="Century" w:eastAsia="Times New Roman" w:hAnsi="Century" w:cs="Times New Roman"/>
                <w:color w:val="000000"/>
                <w:sz w:val="18"/>
                <w:szCs w:val="18"/>
                <w:lang w:eastAsia="es-ES"/>
              </w:rPr>
              <w:t>El heredero tributa y paga en España por el valor de los bienes situados en el mismo. Aplica la normativa estatal.</w:t>
            </w:r>
          </w:p>
          <w:p w:rsidR="003126CE" w:rsidRPr="00083F6D" w:rsidRDefault="003126CE" w:rsidP="009F3811">
            <w:pPr>
              <w:spacing w:line="276" w:lineRule="auto"/>
              <w:jc w:val="both"/>
              <w:rPr>
                <w:rFonts w:ascii="Century" w:eastAsia="Times New Roman" w:hAnsi="Century" w:cs="Times New Roman"/>
                <w:bCs/>
                <w:color w:val="0000FF"/>
                <w:sz w:val="18"/>
                <w:szCs w:val="18"/>
                <w:lang w:eastAsia="es-ES"/>
              </w:rPr>
            </w:pPr>
          </w:p>
        </w:tc>
        <w:tc>
          <w:tcPr>
            <w:tcW w:w="2385" w:type="dxa"/>
          </w:tcPr>
          <w:p w:rsidR="003126CE" w:rsidRPr="00083F6D" w:rsidRDefault="003126CE" w:rsidP="009F3811">
            <w:pPr>
              <w:spacing w:line="276" w:lineRule="auto"/>
              <w:jc w:val="both"/>
              <w:rPr>
                <w:rFonts w:ascii="Century" w:eastAsia="Times New Roman" w:hAnsi="Century" w:cs="Times New Roman"/>
                <w:sz w:val="18"/>
                <w:szCs w:val="18"/>
                <w:lang w:eastAsia="es-ES"/>
              </w:rPr>
            </w:pPr>
            <w:r w:rsidRPr="00083F6D">
              <w:rPr>
                <w:rFonts w:ascii="Century" w:eastAsia="Times New Roman" w:hAnsi="Century" w:cs="Times New Roman"/>
                <w:sz w:val="18"/>
                <w:szCs w:val="18"/>
                <w:lang w:eastAsia="es-ES"/>
              </w:rPr>
              <w:t>El heredero tributa y paga en España por el valor de los bienes situados en el mismo. Aplica la normativa de aquella Comunidad Autónoma en la que se encuentre la mayor parte de ese valor.</w:t>
            </w:r>
          </w:p>
        </w:tc>
        <w:tc>
          <w:tcPr>
            <w:tcW w:w="2322" w:type="dxa"/>
          </w:tcPr>
          <w:p w:rsidR="003126CE" w:rsidRPr="00083F6D" w:rsidRDefault="003126CE" w:rsidP="009F3811">
            <w:pPr>
              <w:spacing w:line="276" w:lineRule="auto"/>
              <w:jc w:val="both"/>
              <w:rPr>
                <w:rFonts w:ascii="Century" w:eastAsia="Times New Roman" w:hAnsi="Century" w:cs="Times New Roman"/>
                <w:color w:val="000000"/>
                <w:sz w:val="18"/>
                <w:szCs w:val="18"/>
                <w:lang w:eastAsia="es-ES"/>
              </w:rPr>
            </w:pPr>
            <w:r w:rsidRPr="00083F6D">
              <w:rPr>
                <w:rFonts w:ascii="Century" w:eastAsia="Times New Roman" w:hAnsi="Century" w:cs="Times New Roman"/>
                <w:color w:val="000000"/>
                <w:sz w:val="18"/>
                <w:szCs w:val="18"/>
                <w:lang w:eastAsia="es-ES"/>
              </w:rPr>
              <w:t>El heredero tributa y paga en España por el valor de los bienes situados en el mismo. Aplica la normativa estatal.</w:t>
            </w:r>
          </w:p>
          <w:p w:rsidR="003126CE" w:rsidRPr="00083F6D" w:rsidRDefault="003126CE" w:rsidP="009F3811">
            <w:pPr>
              <w:spacing w:line="276" w:lineRule="auto"/>
              <w:jc w:val="both"/>
              <w:rPr>
                <w:rFonts w:ascii="Century" w:eastAsia="Times New Roman" w:hAnsi="Century" w:cs="Times New Roman"/>
                <w:bCs/>
                <w:color w:val="0000FF"/>
                <w:sz w:val="18"/>
                <w:szCs w:val="18"/>
                <w:lang w:eastAsia="es-ES"/>
              </w:rPr>
            </w:pPr>
          </w:p>
        </w:tc>
      </w:tr>
    </w:tbl>
    <w:p w:rsidR="003126CE" w:rsidRDefault="003126CE" w:rsidP="009F3811">
      <w:pPr>
        <w:spacing w:after="0" w:line="360" w:lineRule="auto"/>
        <w:jc w:val="both"/>
        <w:rPr>
          <w:rFonts w:ascii="Century" w:hAnsi="Century"/>
          <w:i/>
          <w:sz w:val="20"/>
          <w:szCs w:val="20"/>
        </w:rPr>
      </w:pPr>
      <w:r w:rsidRPr="002C13F3">
        <w:rPr>
          <w:rFonts w:ascii="Century" w:hAnsi="Century"/>
          <w:i/>
          <w:sz w:val="20"/>
          <w:szCs w:val="20"/>
        </w:rPr>
        <w:t>Fuente</w:t>
      </w:r>
      <w:r w:rsidRPr="00514069">
        <w:rPr>
          <w:rFonts w:cstheme="minorHAnsi"/>
          <w:i/>
          <w:sz w:val="20"/>
          <w:szCs w:val="20"/>
        </w:rPr>
        <w:t>:</w:t>
      </w:r>
      <w:r w:rsidRPr="002C13F3">
        <w:rPr>
          <w:rFonts w:ascii="Century" w:hAnsi="Century"/>
          <w:i/>
          <w:sz w:val="20"/>
          <w:szCs w:val="20"/>
        </w:rPr>
        <w:t xml:space="preserve"> elaboración propia</w:t>
      </w:r>
    </w:p>
    <w:p w:rsidR="009F3811" w:rsidRDefault="009F3811" w:rsidP="009F3811">
      <w:pPr>
        <w:spacing w:after="0" w:line="360" w:lineRule="auto"/>
        <w:jc w:val="both"/>
        <w:rPr>
          <w:rFonts w:ascii="Century" w:hAnsi="Century"/>
          <w:i/>
          <w:sz w:val="20"/>
          <w:szCs w:val="20"/>
        </w:rPr>
      </w:pPr>
    </w:p>
    <w:p w:rsidR="004A76CF" w:rsidRDefault="004A76CF" w:rsidP="002D11BC">
      <w:pPr>
        <w:spacing w:after="240" w:line="360" w:lineRule="auto"/>
        <w:jc w:val="both"/>
        <w:rPr>
          <w:rFonts w:ascii="Century" w:hAnsi="Century"/>
          <w:i/>
          <w:sz w:val="2"/>
          <w:szCs w:val="2"/>
        </w:rPr>
      </w:pPr>
    </w:p>
    <w:p w:rsidR="003126CE" w:rsidRPr="002C13F3" w:rsidRDefault="00DB54E9" w:rsidP="009F3811">
      <w:pPr>
        <w:spacing w:after="0" w:line="360" w:lineRule="auto"/>
        <w:ind w:left="708"/>
        <w:jc w:val="both"/>
        <w:rPr>
          <w:rFonts w:ascii="Century" w:hAnsi="Century"/>
          <w:sz w:val="24"/>
          <w:szCs w:val="24"/>
        </w:rPr>
      </w:pPr>
      <w:r w:rsidRPr="002C13F3">
        <w:rPr>
          <w:rFonts w:ascii="Century" w:hAnsi="Century"/>
          <w:sz w:val="24"/>
          <w:szCs w:val="24"/>
        </w:rPr>
        <w:t xml:space="preserve">B) </w:t>
      </w:r>
      <w:r w:rsidR="003126CE" w:rsidRPr="002C13F3">
        <w:rPr>
          <w:rFonts w:ascii="Century" w:hAnsi="Century"/>
          <w:sz w:val="24"/>
          <w:szCs w:val="24"/>
        </w:rPr>
        <w:t>Si el causante tiene bienes sólo fuera de España</w:t>
      </w:r>
      <w:r w:rsidR="003126CE" w:rsidRPr="00514069">
        <w:rPr>
          <w:rFonts w:cstheme="minorHAnsi"/>
          <w:sz w:val="24"/>
          <w:szCs w:val="24"/>
        </w:rPr>
        <w:t>:</w:t>
      </w:r>
    </w:p>
    <w:tbl>
      <w:tblPr>
        <w:tblStyle w:val="Tablaconcuadrcula"/>
        <w:tblW w:w="8732" w:type="dxa"/>
        <w:jc w:val="center"/>
        <w:tblLook w:val="04A0"/>
      </w:tblPr>
      <w:tblGrid>
        <w:gridCol w:w="1627"/>
        <w:gridCol w:w="2392"/>
        <w:gridCol w:w="2393"/>
        <w:gridCol w:w="2320"/>
      </w:tblGrid>
      <w:tr w:rsidR="003126CE" w:rsidRPr="00083F6D" w:rsidTr="009F3811">
        <w:trPr>
          <w:trHeight w:val="1189"/>
          <w:jc w:val="center"/>
        </w:trPr>
        <w:tc>
          <w:tcPr>
            <w:tcW w:w="1630" w:type="dxa"/>
          </w:tcPr>
          <w:p w:rsidR="003126CE" w:rsidRPr="00083F6D" w:rsidRDefault="003126CE" w:rsidP="00083F6D">
            <w:pPr>
              <w:spacing w:after="240" w:line="276" w:lineRule="auto"/>
              <w:jc w:val="both"/>
              <w:rPr>
                <w:rFonts w:ascii="Century" w:eastAsia="Times New Roman" w:hAnsi="Century" w:cs="Times New Roman"/>
                <w:bCs/>
                <w:sz w:val="18"/>
                <w:szCs w:val="18"/>
                <w:lang w:eastAsia="es-ES"/>
              </w:rPr>
            </w:pPr>
          </w:p>
        </w:tc>
        <w:tc>
          <w:tcPr>
            <w:tcW w:w="2409" w:type="dxa"/>
          </w:tcPr>
          <w:p w:rsidR="003126CE" w:rsidRPr="00083F6D" w:rsidRDefault="003126CE" w:rsidP="009F3811">
            <w:pPr>
              <w:spacing w:after="240" w:line="276" w:lineRule="auto"/>
              <w:jc w:val="center"/>
              <w:rPr>
                <w:rFonts w:ascii="Century" w:eastAsia="Times New Roman" w:hAnsi="Century" w:cs="Times New Roman"/>
                <w:b/>
                <w:bCs/>
                <w:sz w:val="18"/>
                <w:szCs w:val="18"/>
                <w:lang w:eastAsia="es-ES"/>
              </w:rPr>
            </w:pPr>
            <w:r w:rsidRPr="00083F6D">
              <w:rPr>
                <w:rFonts w:ascii="Century" w:eastAsia="Times New Roman" w:hAnsi="Century" w:cs="Times New Roman"/>
                <w:b/>
                <w:bCs/>
                <w:sz w:val="18"/>
                <w:szCs w:val="18"/>
                <w:lang w:eastAsia="es-ES"/>
              </w:rPr>
              <w:t>Causante residente en España</w:t>
            </w:r>
          </w:p>
        </w:tc>
        <w:tc>
          <w:tcPr>
            <w:tcW w:w="2410" w:type="dxa"/>
          </w:tcPr>
          <w:p w:rsidR="003126CE" w:rsidRPr="00083F6D" w:rsidRDefault="003126CE" w:rsidP="009F3811">
            <w:pPr>
              <w:spacing w:after="240" w:line="276" w:lineRule="auto"/>
              <w:jc w:val="center"/>
              <w:rPr>
                <w:rFonts w:ascii="Century" w:eastAsia="Times New Roman" w:hAnsi="Century" w:cs="Times New Roman"/>
                <w:b/>
                <w:bCs/>
                <w:sz w:val="18"/>
                <w:szCs w:val="18"/>
                <w:lang w:eastAsia="es-ES"/>
              </w:rPr>
            </w:pPr>
            <w:r w:rsidRPr="00083F6D">
              <w:rPr>
                <w:rFonts w:ascii="Century" w:eastAsia="Times New Roman" w:hAnsi="Century" w:cs="Times New Roman"/>
                <w:b/>
                <w:bCs/>
                <w:sz w:val="18"/>
                <w:szCs w:val="18"/>
                <w:lang w:eastAsia="es-ES"/>
              </w:rPr>
              <w:t>Causante no residente en España y dentro de la UE</w:t>
            </w:r>
          </w:p>
        </w:tc>
        <w:tc>
          <w:tcPr>
            <w:tcW w:w="2337" w:type="dxa"/>
          </w:tcPr>
          <w:p w:rsidR="003126CE" w:rsidRPr="00083F6D" w:rsidRDefault="003126CE" w:rsidP="009F3811">
            <w:pPr>
              <w:spacing w:after="240" w:line="276" w:lineRule="auto"/>
              <w:jc w:val="center"/>
              <w:rPr>
                <w:rFonts w:ascii="Century" w:eastAsia="Times New Roman" w:hAnsi="Century" w:cs="Times New Roman"/>
                <w:b/>
                <w:bCs/>
                <w:sz w:val="18"/>
                <w:szCs w:val="18"/>
                <w:lang w:eastAsia="es-ES"/>
              </w:rPr>
            </w:pPr>
            <w:r w:rsidRPr="00083F6D">
              <w:rPr>
                <w:rFonts w:ascii="Century" w:eastAsia="Times New Roman" w:hAnsi="Century" w:cs="Times New Roman"/>
                <w:b/>
                <w:bCs/>
                <w:sz w:val="18"/>
                <w:szCs w:val="18"/>
                <w:lang w:eastAsia="es-ES"/>
              </w:rPr>
              <w:t>Causante no residente en España y fuera de la UE (residente de cualquier otro país del mundo)</w:t>
            </w:r>
          </w:p>
        </w:tc>
      </w:tr>
      <w:tr w:rsidR="003126CE" w:rsidRPr="00083F6D" w:rsidTr="001E2DBC">
        <w:trPr>
          <w:jc w:val="center"/>
        </w:trPr>
        <w:tc>
          <w:tcPr>
            <w:tcW w:w="1630" w:type="dxa"/>
          </w:tcPr>
          <w:p w:rsidR="003126CE" w:rsidRPr="00083F6D" w:rsidRDefault="006A4F0C" w:rsidP="009F3811">
            <w:pPr>
              <w:spacing w:line="276" w:lineRule="auto"/>
              <w:rPr>
                <w:rFonts w:ascii="Century" w:eastAsia="Times New Roman" w:hAnsi="Century" w:cs="Times New Roman"/>
                <w:b/>
                <w:bCs/>
                <w:sz w:val="18"/>
                <w:szCs w:val="18"/>
                <w:lang w:eastAsia="es-ES"/>
              </w:rPr>
            </w:pPr>
            <w:r w:rsidRPr="00083F6D">
              <w:rPr>
                <w:rFonts w:ascii="Century" w:eastAsia="Times New Roman" w:hAnsi="Century" w:cs="Times New Roman"/>
                <w:b/>
                <w:bCs/>
                <w:sz w:val="18"/>
                <w:szCs w:val="18"/>
                <w:lang w:eastAsia="es-ES"/>
              </w:rPr>
              <w:t xml:space="preserve">Causahabiente </w:t>
            </w:r>
            <w:r w:rsidR="003126CE" w:rsidRPr="00083F6D">
              <w:rPr>
                <w:rFonts w:ascii="Century" w:eastAsia="Times New Roman" w:hAnsi="Century" w:cs="Times New Roman"/>
                <w:b/>
                <w:bCs/>
                <w:sz w:val="18"/>
                <w:szCs w:val="18"/>
                <w:lang w:eastAsia="es-ES"/>
              </w:rPr>
              <w:t>residente en España</w:t>
            </w:r>
          </w:p>
        </w:tc>
        <w:tc>
          <w:tcPr>
            <w:tcW w:w="2409" w:type="dxa"/>
          </w:tcPr>
          <w:p w:rsidR="003126CE" w:rsidRPr="00083F6D" w:rsidRDefault="003126CE" w:rsidP="009F3811">
            <w:pPr>
              <w:spacing w:line="276" w:lineRule="auto"/>
              <w:jc w:val="both"/>
              <w:rPr>
                <w:rFonts w:ascii="Century" w:eastAsia="Times New Roman" w:hAnsi="Century" w:cs="Times New Roman"/>
                <w:bCs/>
                <w:color w:val="0000FF"/>
                <w:sz w:val="18"/>
                <w:szCs w:val="18"/>
                <w:lang w:eastAsia="es-ES"/>
              </w:rPr>
            </w:pPr>
            <w:r w:rsidRPr="00083F6D">
              <w:rPr>
                <w:rFonts w:ascii="Century" w:eastAsia="Times New Roman" w:hAnsi="Century" w:cs="Times New Roman"/>
                <w:color w:val="000000"/>
                <w:sz w:val="18"/>
                <w:szCs w:val="18"/>
                <w:lang w:eastAsia="es-ES"/>
              </w:rPr>
              <w:t>Paga en España, por el valor de los bienes situados en todo el m</w:t>
            </w:r>
            <w:r w:rsidR="005F144D" w:rsidRPr="00083F6D">
              <w:rPr>
                <w:rFonts w:ascii="Century" w:eastAsia="Times New Roman" w:hAnsi="Century" w:cs="Times New Roman"/>
                <w:color w:val="000000"/>
                <w:sz w:val="18"/>
                <w:szCs w:val="18"/>
                <w:lang w:eastAsia="es-ES"/>
              </w:rPr>
              <w:t>undo, y con la normativa de la C</w:t>
            </w:r>
            <w:r w:rsidR="00876556">
              <w:rPr>
                <w:rFonts w:ascii="Century" w:eastAsia="Times New Roman" w:hAnsi="Century" w:cs="Times New Roman"/>
                <w:color w:val="000000"/>
                <w:sz w:val="18"/>
                <w:szCs w:val="18"/>
                <w:lang w:eastAsia="es-ES"/>
              </w:rPr>
              <w:t>omunidad A</w:t>
            </w:r>
            <w:r w:rsidRPr="00083F6D">
              <w:rPr>
                <w:rFonts w:ascii="Century" w:eastAsia="Times New Roman" w:hAnsi="Century" w:cs="Times New Roman"/>
                <w:color w:val="000000"/>
                <w:sz w:val="18"/>
                <w:szCs w:val="18"/>
                <w:lang w:eastAsia="es-ES"/>
              </w:rPr>
              <w:t>utónoma en la que residía el fallecido pudiendo deducir lo que haya pagado en el extranjero.</w:t>
            </w:r>
          </w:p>
        </w:tc>
        <w:tc>
          <w:tcPr>
            <w:tcW w:w="2410" w:type="dxa"/>
          </w:tcPr>
          <w:p w:rsidR="0057505C" w:rsidRPr="00083F6D" w:rsidRDefault="003126CE" w:rsidP="009F3811">
            <w:pPr>
              <w:spacing w:line="276" w:lineRule="auto"/>
              <w:jc w:val="both"/>
              <w:rPr>
                <w:rFonts w:ascii="Century" w:eastAsia="Times New Roman" w:hAnsi="Century" w:cs="Times New Roman"/>
                <w:color w:val="000000"/>
                <w:sz w:val="18"/>
                <w:szCs w:val="18"/>
                <w:lang w:eastAsia="es-ES"/>
              </w:rPr>
            </w:pPr>
            <w:r w:rsidRPr="00083F6D">
              <w:rPr>
                <w:rFonts w:ascii="Century" w:eastAsia="Times New Roman" w:hAnsi="Century" w:cs="Times New Roman"/>
                <w:color w:val="000000"/>
                <w:sz w:val="18"/>
                <w:szCs w:val="18"/>
                <w:lang w:eastAsia="es-ES"/>
              </w:rPr>
              <w:t>Paga en España, por el valor de los bienes situados en todo el mundo, y con la normativa de la Comunidad Autónoma en la que resida el heredero, pudiendo deducir lo que haya pagado en el extranjero.</w:t>
            </w:r>
          </w:p>
        </w:tc>
        <w:tc>
          <w:tcPr>
            <w:tcW w:w="2337" w:type="dxa"/>
          </w:tcPr>
          <w:p w:rsidR="003126CE" w:rsidRPr="00083F6D" w:rsidRDefault="003126CE" w:rsidP="009F3811">
            <w:pPr>
              <w:spacing w:line="276" w:lineRule="auto"/>
              <w:jc w:val="both"/>
              <w:rPr>
                <w:rFonts w:ascii="Century" w:eastAsia="Times New Roman" w:hAnsi="Century" w:cs="Times New Roman"/>
                <w:sz w:val="18"/>
                <w:szCs w:val="18"/>
                <w:lang w:eastAsia="es-ES"/>
              </w:rPr>
            </w:pPr>
            <w:r w:rsidRPr="00083F6D">
              <w:rPr>
                <w:rFonts w:ascii="Century" w:eastAsia="Times New Roman" w:hAnsi="Century" w:cs="Times New Roman"/>
                <w:color w:val="000000"/>
                <w:sz w:val="18"/>
                <w:szCs w:val="18"/>
                <w:lang w:eastAsia="es-ES"/>
              </w:rPr>
              <w:t>Paga en España, por el valor de los bienes situados en todo el mundo, y con la normativa del Estado pudiendo deducir lo que haya pagado en el extranjero.</w:t>
            </w:r>
          </w:p>
          <w:p w:rsidR="003126CE" w:rsidRPr="00083F6D" w:rsidRDefault="003126CE" w:rsidP="009F3811">
            <w:pPr>
              <w:spacing w:line="276" w:lineRule="auto"/>
              <w:jc w:val="both"/>
              <w:rPr>
                <w:rFonts w:ascii="Century" w:eastAsia="Times New Roman" w:hAnsi="Century" w:cs="Times New Roman"/>
                <w:bCs/>
                <w:color w:val="0000FF"/>
                <w:sz w:val="18"/>
                <w:szCs w:val="18"/>
                <w:lang w:eastAsia="es-ES"/>
              </w:rPr>
            </w:pPr>
          </w:p>
        </w:tc>
      </w:tr>
      <w:tr w:rsidR="003126CE" w:rsidRPr="00083F6D" w:rsidTr="001E2DBC">
        <w:trPr>
          <w:trHeight w:val="558"/>
          <w:jc w:val="center"/>
        </w:trPr>
        <w:tc>
          <w:tcPr>
            <w:tcW w:w="1630" w:type="dxa"/>
          </w:tcPr>
          <w:p w:rsidR="003126CE" w:rsidRPr="00083F6D" w:rsidRDefault="006A4F0C" w:rsidP="009F3811">
            <w:pPr>
              <w:spacing w:line="276" w:lineRule="auto"/>
              <w:rPr>
                <w:rFonts w:ascii="Century" w:eastAsia="Times New Roman" w:hAnsi="Century" w:cs="Times New Roman"/>
                <w:b/>
                <w:bCs/>
                <w:sz w:val="18"/>
                <w:szCs w:val="18"/>
                <w:lang w:eastAsia="es-ES"/>
              </w:rPr>
            </w:pPr>
            <w:r w:rsidRPr="00083F6D">
              <w:rPr>
                <w:rFonts w:ascii="Century" w:eastAsia="Times New Roman" w:hAnsi="Century" w:cs="Times New Roman"/>
                <w:b/>
                <w:bCs/>
                <w:sz w:val="18"/>
                <w:szCs w:val="18"/>
                <w:lang w:eastAsia="es-ES"/>
              </w:rPr>
              <w:t>Causahabiente</w:t>
            </w:r>
            <w:r w:rsidR="003126CE" w:rsidRPr="00083F6D">
              <w:rPr>
                <w:rFonts w:ascii="Century" w:eastAsia="Times New Roman" w:hAnsi="Century" w:cs="Times New Roman"/>
                <w:b/>
                <w:bCs/>
                <w:sz w:val="18"/>
                <w:szCs w:val="18"/>
                <w:lang w:eastAsia="es-ES"/>
              </w:rPr>
              <w:t xml:space="preserve"> no residente en España</w:t>
            </w:r>
          </w:p>
        </w:tc>
        <w:tc>
          <w:tcPr>
            <w:tcW w:w="2409" w:type="dxa"/>
            <w:vAlign w:val="center"/>
          </w:tcPr>
          <w:p w:rsidR="003126CE" w:rsidRPr="00083F6D" w:rsidRDefault="003126CE" w:rsidP="009F3811">
            <w:pPr>
              <w:spacing w:line="276" w:lineRule="auto"/>
              <w:jc w:val="both"/>
              <w:rPr>
                <w:rFonts w:ascii="Century" w:eastAsia="Times New Roman" w:hAnsi="Century" w:cs="Times New Roman"/>
                <w:bCs/>
                <w:color w:val="0000FF"/>
                <w:sz w:val="18"/>
                <w:szCs w:val="18"/>
                <w:lang w:eastAsia="es-ES"/>
              </w:rPr>
            </w:pPr>
            <w:r w:rsidRPr="00083F6D">
              <w:rPr>
                <w:rFonts w:ascii="Century" w:eastAsia="Times New Roman" w:hAnsi="Century" w:cs="Times New Roman"/>
                <w:color w:val="000000"/>
                <w:sz w:val="18"/>
                <w:szCs w:val="18"/>
                <w:lang w:eastAsia="es-ES"/>
              </w:rPr>
              <w:t>No paga en España.</w:t>
            </w:r>
          </w:p>
        </w:tc>
        <w:tc>
          <w:tcPr>
            <w:tcW w:w="2410" w:type="dxa"/>
            <w:vAlign w:val="center"/>
          </w:tcPr>
          <w:p w:rsidR="003126CE" w:rsidRPr="00083F6D" w:rsidRDefault="003126CE" w:rsidP="009F3811">
            <w:pPr>
              <w:spacing w:line="276" w:lineRule="auto"/>
              <w:jc w:val="both"/>
              <w:rPr>
                <w:rFonts w:ascii="Century" w:eastAsia="Times New Roman" w:hAnsi="Century" w:cs="Times New Roman"/>
                <w:bCs/>
                <w:color w:val="0000FF"/>
                <w:sz w:val="18"/>
                <w:szCs w:val="18"/>
                <w:lang w:eastAsia="es-ES"/>
              </w:rPr>
            </w:pPr>
            <w:r w:rsidRPr="00083F6D">
              <w:rPr>
                <w:rFonts w:ascii="Century" w:eastAsia="Times New Roman" w:hAnsi="Century" w:cs="Times New Roman"/>
                <w:color w:val="000000"/>
                <w:sz w:val="18"/>
                <w:szCs w:val="18"/>
                <w:lang w:eastAsia="es-ES"/>
              </w:rPr>
              <w:t>No paga en España.</w:t>
            </w:r>
          </w:p>
        </w:tc>
        <w:tc>
          <w:tcPr>
            <w:tcW w:w="2337" w:type="dxa"/>
            <w:vAlign w:val="center"/>
          </w:tcPr>
          <w:p w:rsidR="003126CE" w:rsidRPr="00083F6D" w:rsidRDefault="003126CE" w:rsidP="009F3811">
            <w:pPr>
              <w:spacing w:line="276" w:lineRule="auto"/>
              <w:ind w:left="38"/>
              <w:jc w:val="both"/>
              <w:rPr>
                <w:rFonts w:ascii="Century" w:eastAsia="Times New Roman" w:hAnsi="Century" w:cs="Times New Roman"/>
                <w:bCs/>
                <w:color w:val="0000FF"/>
                <w:sz w:val="18"/>
                <w:szCs w:val="18"/>
                <w:lang w:eastAsia="es-ES"/>
              </w:rPr>
            </w:pPr>
            <w:r w:rsidRPr="00083F6D">
              <w:rPr>
                <w:rFonts w:ascii="Century" w:eastAsia="Times New Roman" w:hAnsi="Century" w:cs="Times New Roman"/>
                <w:color w:val="000000"/>
                <w:sz w:val="18"/>
                <w:szCs w:val="18"/>
                <w:lang w:eastAsia="es-ES"/>
              </w:rPr>
              <w:t>No paga en España.</w:t>
            </w:r>
          </w:p>
        </w:tc>
      </w:tr>
    </w:tbl>
    <w:p w:rsidR="003126CE" w:rsidRPr="002C13F3" w:rsidRDefault="003126CE" w:rsidP="009F3811">
      <w:pPr>
        <w:spacing w:after="0" w:line="360" w:lineRule="auto"/>
        <w:jc w:val="both"/>
        <w:rPr>
          <w:rFonts w:ascii="Century" w:hAnsi="Century"/>
          <w:i/>
          <w:sz w:val="20"/>
          <w:szCs w:val="20"/>
        </w:rPr>
      </w:pPr>
      <w:r w:rsidRPr="002C13F3">
        <w:rPr>
          <w:rFonts w:ascii="Century" w:hAnsi="Century"/>
          <w:i/>
          <w:sz w:val="20"/>
          <w:szCs w:val="20"/>
        </w:rPr>
        <w:t>Fuente</w:t>
      </w:r>
      <w:r w:rsidRPr="00514069">
        <w:rPr>
          <w:rFonts w:cstheme="minorHAnsi"/>
          <w:i/>
          <w:sz w:val="20"/>
          <w:szCs w:val="20"/>
        </w:rPr>
        <w:t>:</w:t>
      </w:r>
      <w:r w:rsidRPr="002C13F3">
        <w:rPr>
          <w:rFonts w:ascii="Century" w:hAnsi="Century"/>
          <w:i/>
          <w:sz w:val="20"/>
          <w:szCs w:val="20"/>
        </w:rPr>
        <w:t xml:space="preserve"> elaboración propia.</w:t>
      </w:r>
    </w:p>
    <w:p w:rsidR="00DB54E9" w:rsidRPr="002C13F3" w:rsidRDefault="003126CE" w:rsidP="002D11BC">
      <w:pPr>
        <w:spacing w:after="240" w:line="360" w:lineRule="auto"/>
        <w:jc w:val="both"/>
        <w:rPr>
          <w:rFonts w:ascii="Century" w:hAnsi="Century"/>
          <w:sz w:val="24"/>
          <w:szCs w:val="24"/>
        </w:rPr>
      </w:pPr>
      <w:r w:rsidRPr="002C13F3">
        <w:rPr>
          <w:rFonts w:ascii="Century" w:hAnsi="Century"/>
          <w:sz w:val="24"/>
          <w:szCs w:val="24"/>
        </w:rPr>
        <w:lastRenderedPageBreak/>
        <w:tab/>
      </w:r>
      <w:r w:rsidR="00DB54E9" w:rsidRPr="002C13F3">
        <w:rPr>
          <w:rFonts w:ascii="Century" w:hAnsi="Century"/>
          <w:sz w:val="24"/>
          <w:szCs w:val="24"/>
        </w:rPr>
        <w:t>Por tanto, la tributación del heredero depende de si el mismo es residente o no residente, de si el causante es residente o no residente y de si este último tenía bienes en España o fuera de ella. Dependiendo de estos criterios, el heredero tributará aplicándose la normativa estatal o de la Comunidad Autónoma correspondiente. Es</w:t>
      </w:r>
      <w:r w:rsidR="00670367">
        <w:rPr>
          <w:rFonts w:ascii="Century" w:hAnsi="Century"/>
          <w:sz w:val="24"/>
          <w:szCs w:val="24"/>
        </w:rPr>
        <w:t xml:space="preserve">ta clasificación puede derivar </w:t>
      </w:r>
      <w:r w:rsidR="00DB54E9" w:rsidRPr="002C13F3">
        <w:rPr>
          <w:rFonts w:ascii="Century" w:hAnsi="Century"/>
          <w:sz w:val="24"/>
          <w:szCs w:val="24"/>
        </w:rPr>
        <w:t>en que el causahabiente sufra algún tipo de desigualdad de trato</w:t>
      </w:r>
      <w:r w:rsidR="00065636">
        <w:rPr>
          <w:rStyle w:val="Refdenotaalpie"/>
          <w:rFonts w:ascii="Century" w:hAnsi="Century"/>
          <w:sz w:val="24"/>
          <w:szCs w:val="24"/>
        </w:rPr>
        <w:footnoteReference w:id="48"/>
      </w:r>
      <w:r w:rsidR="00DB54E9" w:rsidRPr="002C13F3">
        <w:rPr>
          <w:rFonts w:ascii="Century" w:hAnsi="Century"/>
          <w:sz w:val="24"/>
          <w:szCs w:val="24"/>
        </w:rPr>
        <w:t>.</w:t>
      </w:r>
    </w:p>
    <w:p w:rsidR="00670367" w:rsidRPr="001D4ADE" w:rsidRDefault="00DB54E9" w:rsidP="001D4ADE">
      <w:pPr>
        <w:spacing w:after="240" w:line="360" w:lineRule="auto"/>
        <w:ind w:firstLine="708"/>
        <w:jc w:val="both"/>
        <w:rPr>
          <w:rFonts w:ascii="Century" w:hAnsi="Century" w:cs="Arial"/>
        </w:rPr>
      </w:pPr>
      <w:r w:rsidRPr="001D4ADE">
        <w:rPr>
          <w:rFonts w:ascii="Century" w:hAnsi="Century"/>
          <w:sz w:val="24"/>
          <w:szCs w:val="24"/>
        </w:rPr>
        <w:t>Por lo demás, el impuesto se cuantifica atend</w:t>
      </w:r>
      <w:r w:rsidR="000D3835" w:rsidRPr="001D4ADE">
        <w:rPr>
          <w:rFonts w:ascii="Century" w:hAnsi="Century"/>
          <w:sz w:val="24"/>
          <w:szCs w:val="24"/>
        </w:rPr>
        <w:t xml:space="preserve">iendo a diversos aspectos. </w:t>
      </w:r>
      <w:r w:rsidR="00436C15" w:rsidRPr="001D4ADE">
        <w:rPr>
          <w:rFonts w:ascii="Century" w:hAnsi="Century"/>
          <w:sz w:val="24"/>
          <w:szCs w:val="24"/>
        </w:rPr>
        <w:t xml:space="preserve">Según </w:t>
      </w:r>
      <w:r w:rsidR="00436C15" w:rsidRPr="001D4ADE">
        <w:rPr>
          <w:rFonts w:ascii="Century" w:eastAsiaTheme="minorHAnsi" w:hAnsi="Century"/>
          <w:sz w:val="24"/>
          <w:szCs w:val="24"/>
          <w:lang w:eastAsia="en-US"/>
        </w:rPr>
        <w:t xml:space="preserve">el art. 9 de la LISD y </w:t>
      </w:r>
      <w:r w:rsidR="00B22D74" w:rsidRPr="001D4ADE">
        <w:rPr>
          <w:rFonts w:ascii="Century" w:eastAsiaTheme="minorHAnsi" w:hAnsi="Century"/>
          <w:sz w:val="24"/>
          <w:szCs w:val="24"/>
          <w:lang w:eastAsia="en-US"/>
        </w:rPr>
        <w:t xml:space="preserve">el art. </w:t>
      </w:r>
      <w:r w:rsidR="00436C15" w:rsidRPr="001D4ADE">
        <w:rPr>
          <w:rFonts w:ascii="Century" w:eastAsiaTheme="minorHAnsi" w:hAnsi="Century"/>
          <w:sz w:val="24"/>
          <w:szCs w:val="24"/>
          <w:lang w:eastAsia="en-US"/>
        </w:rPr>
        <w:t xml:space="preserve">22 del RISD, el heredero </w:t>
      </w:r>
      <w:r w:rsidR="00343E50">
        <w:rPr>
          <w:rFonts w:ascii="Century" w:eastAsiaTheme="minorHAnsi" w:hAnsi="Century"/>
          <w:sz w:val="24"/>
          <w:szCs w:val="24"/>
          <w:lang w:eastAsia="en-US"/>
        </w:rPr>
        <w:t>tributará</w:t>
      </w:r>
      <w:r w:rsidR="00436C15" w:rsidRPr="001D4ADE">
        <w:rPr>
          <w:rFonts w:ascii="Century" w:eastAsiaTheme="minorHAnsi" w:hAnsi="Century"/>
          <w:sz w:val="24"/>
          <w:szCs w:val="24"/>
          <w:lang w:eastAsia="en-US"/>
        </w:rPr>
        <w:t xml:space="preserve"> por el valor neto de la adquisición individual de la herencia</w:t>
      </w:r>
      <w:r w:rsidR="0097016D" w:rsidRPr="0097016D">
        <w:rPr>
          <w:rFonts w:eastAsiaTheme="minorHAnsi" w:cstheme="minorHAnsi"/>
          <w:sz w:val="24"/>
          <w:szCs w:val="24"/>
          <w:lang w:eastAsia="en-US"/>
        </w:rPr>
        <w:t>:</w:t>
      </w:r>
      <w:r w:rsidR="00436C15" w:rsidRPr="001D4ADE">
        <w:rPr>
          <w:rFonts w:ascii="Century" w:eastAsiaTheme="minorHAnsi" w:hAnsi="Century"/>
          <w:sz w:val="24"/>
          <w:szCs w:val="24"/>
          <w:lang w:eastAsia="en-US"/>
        </w:rPr>
        <w:t xml:space="preserve"> el valor real de los bienes y derechos minorado por las cargas y deudas que fueren deducibles, formando aquélla la base imponible. Sobre esta base </w:t>
      </w:r>
      <w:r w:rsidRPr="001D4ADE">
        <w:rPr>
          <w:rFonts w:ascii="Century" w:hAnsi="Century"/>
          <w:sz w:val="24"/>
          <w:szCs w:val="24"/>
        </w:rPr>
        <w:t>se aplicarán las reducciones estatales y/o de las CCAA</w:t>
      </w:r>
      <w:r w:rsidR="003A28D7" w:rsidRPr="001D4ADE">
        <w:rPr>
          <w:rFonts w:ascii="Century" w:hAnsi="Century"/>
          <w:sz w:val="24"/>
          <w:szCs w:val="24"/>
        </w:rPr>
        <w:t xml:space="preserve">, </w:t>
      </w:r>
      <w:r w:rsidRPr="001D4ADE">
        <w:rPr>
          <w:rFonts w:ascii="Century" w:hAnsi="Century"/>
          <w:sz w:val="24"/>
          <w:szCs w:val="24"/>
        </w:rPr>
        <w:t>obteniéndose la</w:t>
      </w:r>
      <w:r w:rsidR="0097016D">
        <w:rPr>
          <w:rFonts w:ascii="Century" w:hAnsi="Century"/>
          <w:sz w:val="24"/>
          <w:szCs w:val="24"/>
        </w:rPr>
        <w:t xml:space="preserve"> debida</w:t>
      </w:r>
      <w:r w:rsidRPr="001D4ADE">
        <w:rPr>
          <w:rFonts w:ascii="Century" w:hAnsi="Century"/>
          <w:sz w:val="24"/>
          <w:szCs w:val="24"/>
        </w:rPr>
        <w:t xml:space="preserve"> base liquidable, regulada en el art. 20 de la LISD y </w:t>
      </w:r>
      <w:r w:rsidR="00B22D74" w:rsidRPr="001D4ADE">
        <w:rPr>
          <w:rFonts w:ascii="Century" w:hAnsi="Century"/>
          <w:sz w:val="24"/>
          <w:szCs w:val="24"/>
        </w:rPr>
        <w:t xml:space="preserve">el </w:t>
      </w:r>
      <w:r w:rsidRPr="001D4ADE">
        <w:rPr>
          <w:rFonts w:ascii="Century" w:hAnsi="Century"/>
          <w:sz w:val="24"/>
          <w:szCs w:val="24"/>
        </w:rPr>
        <w:t xml:space="preserve">art. 42 del RISD. </w:t>
      </w:r>
      <w:r w:rsidR="00670367" w:rsidRPr="001D4ADE">
        <w:rPr>
          <w:rFonts w:ascii="Century" w:hAnsi="Century"/>
          <w:sz w:val="24"/>
          <w:szCs w:val="24"/>
        </w:rPr>
        <w:t xml:space="preserve">Las reducciones </w:t>
      </w:r>
      <w:r w:rsidR="00E30100">
        <w:rPr>
          <w:rFonts w:ascii="Century" w:hAnsi="Century"/>
          <w:sz w:val="24"/>
          <w:szCs w:val="24"/>
        </w:rPr>
        <w:t>son importantes</w:t>
      </w:r>
      <w:r w:rsidR="00670367" w:rsidRPr="001D4ADE">
        <w:rPr>
          <w:rFonts w:ascii="Century" w:hAnsi="Century"/>
          <w:sz w:val="24"/>
          <w:szCs w:val="24"/>
        </w:rPr>
        <w:t xml:space="preserve"> en la cuantificación del impuesto, siendo una de las principales fuentes de conflicto, dadas las distorsiones que su regulación produce sobre el principio de libre circulación y de igualdad. Y es que </w:t>
      </w:r>
      <w:r w:rsidR="00E30100">
        <w:rPr>
          <w:rFonts w:ascii="Century" w:hAnsi="Century"/>
          <w:sz w:val="24"/>
          <w:szCs w:val="24"/>
        </w:rPr>
        <w:t>producen</w:t>
      </w:r>
      <w:r w:rsidR="00670367" w:rsidRPr="001D4ADE">
        <w:rPr>
          <w:rFonts w:ascii="Century" w:hAnsi="Century" w:cs="Arial"/>
          <w:sz w:val="24"/>
          <w:szCs w:val="24"/>
        </w:rPr>
        <w:t xml:space="preserve"> cambios de residencia a CCAA con tributación más baja, con el fin de elegir aquella normativa autonómica que sea fiscalmente más ventajosa, con los consiguientes problemas que ello puede generar</w:t>
      </w:r>
      <w:r w:rsidR="00670367" w:rsidRPr="001D4ADE">
        <w:rPr>
          <w:rStyle w:val="Refdenotaalpie"/>
          <w:rFonts w:ascii="Century" w:hAnsi="Century" w:cs="Arial"/>
          <w:sz w:val="24"/>
          <w:szCs w:val="24"/>
        </w:rPr>
        <w:footnoteReference w:id="49"/>
      </w:r>
      <w:r w:rsidR="00670367" w:rsidRPr="001D4ADE">
        <w:rPr>
          <w:rFonts w:ascii="Century" w:hAnsi="Century" w:cs="Arial"/>
          <w:sz w:val="24"/>
          <w:szCs w:val="24"/>
        </w:rPr>
        <w:t>.</w:t>
      </w:r>
      <w:r w:rsidR="00670367" w:rsidRPr="001D4ADE">
        <w:rPr>
          <w:rFonts w:ascii="Century" w:hAnsi="Century" w:cs="Arial"/>
        </w:rPr>
        <w:t xml:space="preserve"> </w:t>
      </w:r>
    </w:p>
    <w:p w:rsidR="00AD3AF1" w:rsidRPr="001D4ADE" w:rsidRDefault="003A28D7" w:rsidP="001D4ADE">
      <w:pPr>
        <w:spacing w:after="240" w:line="360" w:lineRule="auto"/>
        <w:ind w:firstLine="708"/>
        <w:jc w:val="both"/>
        <w:rPr>
          <w:rFonts w:ascii="Century" w:hAnsi="Century"/>
          <w:sz w:val="24"/>
          <w:szCs w:val="24"/>
        </w:rPr>
      </w:pPr>
      <w:r w:rsidRPr="001D4ADE">
        <w:rPr>
          <w:rFonts w:ascii="Century" w:hAnsi="Century"/>
          <w:sz w:val="24"/>
          <w:szCs w:val="24"/>
        </w:rPr>
        <w:t>Según el art. 21 de la LISD</w:t>
      </w:r>
      <w:r w:rsidR="00B61305" w:rsidRPr="001D4ADE">
        <w:rPr>
          <w:rFonts w:ascii="Century" w:hAnsi="Century"/>
          <w:sz w:val="24"/>
          <w:szCs w:val="24"/>
        </w:rPr>
        <w:t xml:space="preserve"> y </w:t>
      </w:r>
      <w:r w:rsidR="00B22D74" w:rsidRPr="001D4ADE">
        <w:rPr>
          <w:rFonts w:ascii="Century" w:hAnsi="Century"/>
          <w:sz w:val="24"/>
          <w:szCs w:val="24"/>
        </w:rPr>
        <w:t xml:space="preserve">el </w:t>
      </w:r>
      <w:r w:rsidR="00B61305" w:rsidRPr="001D4ADE">
        <w:rPr>
          <w:rFonts w:ascii="Century" w:hAnsi="Century"/>
          <w:sz w:val="24"/>
          <w:szCs w:val="24"/>
        </w:rPr>
        <w:t>art. 43 del RISD</w:t>
      </w:r>
      <w:r w:rsidRPr="001D4ADE">
        <w:rPr>
          <w:rFonts w:ascii="Century" w:hAnsi="Century"/>
          <w:sz w:val="24"/>
          <w:szCs w:val="24"/>
        </w:rPr>
        <w:t xml:space="preserve">, para obtener la cuota íntegra del impuesto se aplicará a la base liquidable la escala de gravamen que haya sido aprobada por la Comunidad Autónoma. No obstante, si dicha Comunidad no hubiera aprobado ninguna escala al </w:t>
      </w:r>
      <w:r w:rsidRPr="001D4ADE">
        <w:rPr>
          <w:rFonts w:ascii="Century" w:hAnsi="Century"/>
          <w:sz w:val="24"/>
          <w:szCs w:val="24"/>
        </w:rPr>
        <w:lastRenderedPageBreak/>
        <w:t xml:space="preserve">respecto o no hubiera asumido competencias en materia del impuesto o no pudiera aplicarse la normativa propia de la Comunidad a sujetos pasivos, entonces se aplicará la escala de gravamen aprobado por el Estado. </w:t>
      </w:r>
    </w:p>
    <w:p w:rsidR="00694A90" w:rsidRDefault="003A28D7" w:rsidP="002D11BC">
      <w:pPr>
        <w:spacing w:after="240" w:line="360" w:lineRule="auto"/>
        <w:jc w:val="both"/>
        <w:rPr>
          <w:rFonts w:ascii="Century" w:hAnsi="Century"/>
          <w:sz w:val="24"/>
          <w:szCs w:val="24"/>
        </w:rPr>
      </w:pPr>
      <w:r w:rsidRPr="001D4ADE">
        <w:rPr>
          <w:rFonts w:ascii="Century" w:hAnsi="Century"/>
          <w:sz w:val="24"/>
          <w:szCs w:val="24"/>
        </w:rPr>
        <w:tab/>
      </w:r>
      <w:r w:rsidR="00A72579" w:rsidRPr="001D4ADE">
        <w:rPr>
          <w:rFonts w:ascii="Century" w:hAnsi="Century"/>
          <w:sz w:val="24"/>
          <w:szCs w:val="24"/>
        </w:rPr>
        <w:t>L</w:t>
      </w:r>
      <w:r w:rsidRPr="001D4ADE">
        <w:rPr>
          <w:rFonts w:ascii="Century" w:hAnsi="Century"/>
          <w:sz w:val="24"/>
          <w:szCs w:val="24"/>
        </w:rPr>
        <w:t>a cuota tributaria regulada en el art. 22 de la LISD</w:t>
      </w:r>
      <w:r w:rsidR="00B61305" w:rsidRPr="001D4ADE">
        <w:rPr>
          <w:rFonts w:ascii="Century" w:hAnsi="Century"/>
          <w:sz w:val="24"/>
          <w:szCs w:val="24"/>
        </w:rPr>
        <w:t xml:space="preserve"> y art. 44 del RISD</w:t>
      </w:r>
      <w:r w:rsidRPr="001D4ADE">
        <w:rPr>
          <w:rFonts w:ascii="Century" w:hAnsi="Century"/>
          <w:sz w:val="24"/>
          <w:szCs w:val="24"/>
        </w:rPr>
        <w:t>, se obtendrá aplicando a la cuota íntegra el coeficiente multiplicador en función de la cuantía de los tramos del patrimonio preexistente que hayan sido aprobados por la Comunidad Autónoma</w:t>
      </w:r>
      <w:r w:rsidR="00E50043" w:rsidRPr="001D4ADE">
        <w:rPr>
          <w:rFonts w:ascii="Century" w:hAnsi="Century"/>
          <w:sz w:val="24"/>
          <w:szCs w:val="24"/>
        </w:rPr>
        <w:t>, así como del</w:t>
      </w:r>
      <w:r w:rsidRPr="001D4ADE">
        <w:rPr>
          <w:rFonts w:ascii="Century" w:hAnsi="Century"/>
          <w:sz w:val="24"/>
          <w:szCs w:val="24"/>
        </w:rPr>
        <w:t xml:space="preserve"> grupo</w:t>
      </w:r>
      <w:r w:rsidR="003870C7" w:rsidRPr="001D4ADE">
        <w:rPr>
          <w:rFonts w:ascii="Century" w:hAnsi="Century"/>
          <w:sz w:val="24"/>
          <w:szCs w:val="24"/>
        </w:rPr>
        <w:t>, según el grado de parentesco</w:t>
      </w:r>
      <w:r w:rsidR="00E50043" w:rsidRPr="001D4ADE">
        <w:rPr>
          <w:rFonts w:ascii="Century" w:hAnsi="Century"/>
          <w:sz w:val="24"/>
          <w:szCs w:val="24"/>
        </w:rPr>
        <w:t>, para obtener así la denominada cuota incrementada</w:t>
      </w:r>
      <w:r w:rsidR="003870C7" w:rsidRPr="001D4ADE">
        <w:rPr>
          <w:rStyle w:val="Refdenotaalpie"/>
          <w:rFonts w:ascii="Century" w:hAnsi="Century"/>
          <w:sz w:val="24"/>
          <w:szCs w:val="24"/>
        </w:rPr>
        <w:footnoteReference w:id="50"/>
      </w:r>
      <w:r w:rsidR="00694A90" w:rsidRPr="001D4ADE">
        <w:rPr>
          <w:rFonts w:ascii="Century" w:hAnsi="Century"/>
          <w:sz w:val="24"/>
          <w:szCs w:val="24"/>
        </w:rPr>
        <w:t xml:space="preserve">. Si la Comunidad Autónoma no hubiese aprobado el coeficiente o la cuantía de los citados tramos, o no resultase aplicable a los sujetos pasivos la normativa autonómica, se aplicará el coeficiente multiplicador de la ley estatal del impuesto. </w:t>
      </w:r>
      <w:r w:rsidR="0093201F" w:rsidRPr="001D4ADE">
        <w:rPr>
          <w:rFonts w:ascii="Century" w:hAnsi="Century"/>
          <w:sz w:val="24"/>
          <w:szCs w:val="24"/>
        </w:rPr>
        <w:t>Según el art. 23 de la LISD</w:t>
      </w:r>
      <w:r w:rsidR="00B61305" w:rsidRPr="001D4ADE">
        <w:rPr>
          <w:rFonts w:ascii="Century" w:hAnsi="Century"/>
          <w:sz w:val="24"/>
          <w:szCs w:val="24"/>
        </w:rPr>
        <w:t xml:space="preserve"> y art. 46 del RISD</w:t>
      </w:r>
      <w:r w:rsidR="0093201F" w:rsidRPr="001D4ADE">
        <w:rPr>
          <w:rFonts w:ascii="Century" w:hAnsi="Century"/>
          <w:sz w:val="24"/>
          <w:szCs w:val="24"/>
        </w:rPr>
        <w:t>, las CCAA podrán aprobar las deducciones y bonificaciones convenientes que serán compatibles con las deducciones y bonificaciones establecidas por el Estado. Estas deducciones y bonificaciones autonómicas se aplicarán con posterioridad a las reguladas por la normativa del Estado.</w:t>
      </w:r>
    </w:p>
    <w:p w:rsidR="007E2F70" w:rsidRDefault="007E2F70" w:rsidP="00343E50">
      <w:pPr>
        <w:spacing w:after="240" w:line="360" w:lineRule="auto"/>
        <w:ind w:left="709"/>
        <w:jc w:val="both"/>
        <w:rPr>
          <w:rFonts w:ascii="Century" w:hAnsi="Century"/>
          <w:b/>
          <w:sz w:val="24"/>
          <w:szCs w:val="24"/>
        </w:rPr>
      </w:pPr>
      <w:r w:rsidRPr="002C13F3">
        <w:rPr>
          <w:rFonts w:ascii="Century" w:hAnsi="Century"/>
          <w:b/>
          <w:sz w:val="24"/>
          <w:szCs w:val="24"/>
        </w:rPr>
        <w:t xml:space="preserve">3.2.2. Comparativa </w:t>
      </w:r>
      <w:r w:rsidR="00B22D74">
        <w:rPr>
          <w:rFonts w:ascii="Century" w:hAnsi="Century"/>
          <w:b/>
          <w:sz w:val="24"/>
          <w:szCs w:val="24"/>
        </w:rPr>
        <w:t xml:space="preserve">reguladora </w:t>
      </w:r>
      <w:r w:rsidRPr="002C13F3">
        <w:rPr>
          <w:rFonts w:ascii="Century" w:hAnsi="Century"/>
          <w:b/>
          <w:sz w:val="24"/>
          <w:szCs w:val="24"/>
        </w:rPr>
        <w:t>entre Comunidades Autónomas</w:t>
      </w:r>
    </w:p>
    <w:p w:rsidR="00694A90" w:rsidRDefault="0003262D" w:rsidP="002D11BC">
      <w:pPr>
        <w:spacing w:after="240" w:line="360" w:lineRule="auto"/>
        <w:jc w:val="both"/>
        <w:rPr>
          <w:rFonts w:ascii="Century" w:hAnsi="Century"/>
          <w:sz w:val="24"/>
          <w:szCs w:val="24"/>
        </w:rPr>
      </w:pPr>
      <w:r>
        <w:rPr>
          <w:rFonts w:ascii="Century" w:hAnsi="Century"/>
          <w:b/>
          <w:sz w:val="24"/>
          <w:szCs w:val="24"/>
        </w:rPr>
        <w:tab/>
      </w:r>
      <w:r>
        <w:rPr>
          <w:rFonts w:ascii="Century" w:hAnsi="Century"/>
          <w:sz w:val="24"/>
          <w:szCs w:val="24"/>
        </w:rPr>
        <w:t xml:space="preserve">De acuerdo con la potestad normativa de las CCAA, éstas han ido introduciendo </w:t>
      </w:r>
      <w:r w:rsidRPr="004A5FB8">
        <w:rPr>
          <w:rFonts w:ascii="Century" w:hAnsi="Century"/>
          <w:sz w:val="24"/>
          <w:szCs w:val="24"/>
        </w:rPr>
        <w:t>elementos minorativos en</w:t>
      </w:r>
      <w:r w:rsidRPr="0003262D">
        <w:rPr>
          <w:rFonts w:ascii="Century" w:hAnsi="Century"/>
          <w:sz w:val="24"/>
          <w:szCs w:val="24"/>
        </w:rPr>
        <w:t xml:space="preserve"> su gravamen, produciendo</w:t>
      </w:r>
      <w:r>
        <w:rPr>
          <w:rFonts w:ascii="Century" w:hAnsi="Century"/>
          <w:sz w:val="24"/>
          <w:szCs w:val="24"/>
        </w:rPr>
        <w:t xml:space="preserve"> importantes distorsiones y diferenciaciones entre CCAA, cuyas consecuencias analizaremos posteriormente. Veamos a continuación cada uno de los elementos </w:t>
      </w:r>
      <w:r w:rsidRPr="004A5FB8">
        <w:rPr>
          <w:rFonts w:ascii="Century" w:hAnsi="Century"/>
          <w:sz w:val="24"/>
          <w:szCs w:val="24"/>
        </w:rPr>
        <w:t>minorativos</w:t>
      </w:r>
      <w:r>
        <w:rPr>
          <w:rFonts w:ascii="Century" w:hAnsi="Century"/>
          <w:sz w:val="24"/>
          <w:szCs w:val="24"/>
        </w:rPr>
        <w:t xml:space="preserve"> de gravamen por </w:t>
      </w:r>
      <w:r w:rsidR="001D4ADE">
        <w:rPr>
          <w:rFonts w:ascii="Century" w:hAnsi="Century"/>
          <w:sz w:val="24"/>
          <w:szCs w:val="24"/>
        </w:rPr>
        <w:t>CCAA.</w:t>
      </w:r>
    </w:p>
    <w:p w:rsidR="0003262D" w:rsidRPr="0003262D" w:rsidRDefault="0003262D" w:rsidP="002D11BC">
      <w:pPr>
        <w:spacing w:after="240" w:line="360" w:lineRule="auto"/>
        <w:jc w:val="both"/>
        <w:rPr>
          <w:rFonts w:ascii="Century" w:hAnsi="Century"/>
          <w:b/>
          <w:sz w:val="24"/>
          <w:szCs w:val="24"/>
        </w:rPr>
      </w:pPr>
      <w:r>
        <w:rPr>
          <w:rFonts w:ascii="Century" w:hAnsi="Century"/>
          <w:sz w:val="24"/>
          <w:szCs w:val="24"/>
        </w:rPr>
        <w:lastRenderedPageBreak/>
        <w:tab/>
      </w:r>
      <w:r>
        <w:rPr>
          <w:rFonts w:ascii="Century" w:hAnsi="Century"/>
          <w:sz w:val="24"/>
          <w:szCs w:val="24"/>
        </w:rPr>
        <w:tab/>
      </w:r>
      <w:r w:rsidRPr="0003262D">
        <w:rPr>
          <w:rFonts w:ascii="Century" w:hAnsi="Century"/>
          <w:b/>
          <w:sz w:val="24"/>
          <w:szCs w:val="24"/>
        </w:rPr>
        <w:t>A - Reducciones</w:t>
      </w:r>
    </w:p>
    <w:p w:rsidR="007E2F70" w:rsidRDefault="007E2F70" w:rsidP="00174E2E">
      <w:pPr>
        <w:spacing w:after="0" w:line="360" w:lineRule="auto"/>
        <w:jc w:val="both"/>
        <w:rPr>
          <w:rFonts w:ascii="Century" w:hAnsi="Century"/>
          <w:sz w:val="24"/>
          <w:szCs w:val="24"/>
        </w:rPr>
      </w:pPr>
      <w:r w:rsidRPr="002C13F3">
        <w:rPr>
          <w:rFonts w:ascii="Century" w:hAnsi="Century"/>
          <w:sz w:val="24"/>
          <w:szCs w:val="24"/>
        </w:rPr>
        <w:tab/>
      </w:r>
      <w:r w:rsidR="0003262D">
        <w:rPr>
          <w:rFonts w:ascii="Century" w:hAnsi="Century"/>
          <w:sz w:val="24"/>
          <w:szCs w:val="24"/>
        </w:rPr>
        <w:t>Respecto a las</w:t>
      </w:r>
      <w:r w:rsidRPr="002C13F3">
        <w:rPr>
          <w:rFonts w:ascii="Century" w:hAnsi="Century"/>
          <w:sz w:val="24"/>
          <w:szCs w:val="24"/>
        </w:rPr>
        <w:t xml:space="preserve"> reducciones</w:t>
      </w:r>
      <w:r w:rsidR="0003262D">
        <w:rPr>
          <w:rFonts w:ascii="Century" w:hAnsi="Century"/>
          <w:sz w:val="24"/>
          <w:szCs w:val="24"/>
        </w:rPr>
        <w:t>,</w:t>
      </w:r>
      <w:r w:rsidRPr="002C13F3">
        <w:rPr>
          <w:rFonts w:ascii="Century" w:hAnsi="Century"/>
          <w:sz w:val="24"/>
          <w:szCs w:val="24"/>
        </w:rPr>
        <w:t xml:space="preserve"> pasamos a referir</w:t>
      </w:r>
      <w:r w:rsidR="0003262D">
        <w:rPr>
          <w:rFonts w:ascii="Century" w:hAnsi="Century"/>
          <w:sz w:val="24"/>
          <w:szCs w:val="24"/>
        </w:rPr>
        <w:t xml:space="preserve"> las previstas en cada Comunidad Autónoma</w:t>
      </w:r>
      <w:r w:rsidRPr="002C13F3">
        <w:rPr>
          <w:rFonts w:ascii="Century" w:hAnsi="Century"/>
          <w:sz w:val="24"/>
          <w:szCs w:val="24"/>
        </w:rPr>
        <w:t xml:space="preserve"> en un cuadro comparativo</w:t>
      </w:r>
      <w:r w:rsidR="0003262D">
        <w:rPr>
          <w:rFonts w:ascii="Century" w:hAnsi="Century"/>
          <w:sz w:val="24"/>
          <w:szCs w:val="24"/>
        </w:rPr>
        <w:t>,</w:t>
      </w:r>
      <w:r w:rsidRPr="002C13F3">
        <w:rPr>
          <w:rFonts w:ascii="Century" w:hAnsi="Century"/>
          <w:sz w:val="24"/>
          <w:szCs w:val="24"/>
        </w:rPr>
        <w:t xml:space="preserve"> para posteriormente</w:t>
      </w:r>
      <w:r w:rsidR="00042F0C">
        <w:rPr>
          <w:rFonts w:ascii="Century" w:hAnsi="Century"/>
          <w:sz w:val="24"/>
          <w:szCs w:val="24"/>
        </w:rPr>
        <w:t xml:space="preserve"> hacer un análisis </w:t>
      </w:r>
      <w:r w:rsidR="0003262D">
        <w:rPr>
          <w:rFonts w:ascii="Century" w:hAnsi="Century"/>
          <w:sz w:val="24"/>
          <w:szCs w:val="24"/>
        </w:rPr>
        <w:t>individualizado de las mismas y</w:t>
      </w:r>
      <w:r w:rsidR="00042F0C">
        <w:rPr>
          <w:rFonts w:ascii="Century" w:hAnsi="Century"/>
          <w:sz w:val="24"/>
          <w:szCs w:val="24"/>
        </w:rPr>
        <w:t xml:space="preserve"> explicar</w:t>
      </w:r>
      <w:r w:rsidR="0003262D">
        <w:rPr>
          <w:rFonts w:ascii="Century" w:hAnsi="Century"/>
          <w:sz w:val="24"/>
          <w:szCs w:val="24"/>
        </w:rPr>
        <w:t xml:space="preserve"> posteriormente las consecuencias de su diferenciación </w:t>
      </w:r>
      <w:r w:rsidR="00042F0C">
        <w:rPr>
          <w:rFonts w:ascii="Century" w:hAnsi="Century"/>
          <w:sz w:val="24"/>
          <w:szCs w:val="24"/>
        </w:rPr>
        <w:t>en nuestro territorio español.</w:t>
      </w:r>
    </w:p>
    <w:p w:rsidR="00A72579" w:rsidRDefault="00357B07" w:rsidP="002D11BC">
      <w:pPr>
        <w:spacing w:after="240" w:line="360" w:lineRule="auto"/>
        <w:jc w:val="both"/>
        <w:rPr>
          <w:rFonts w:ascii="Century" w:hAnsi="Century"/>
          <w:sz w:val="24"/>
          <w:szCs w:val="24"/>
        </w:rPr>
      </w:pPr>
      <w:r>
        <w:rPr>
          <w:rFonts w:ascii="Century" w:hAnsi="Century"/>
          <w:noProof/>
          <w:sz w:val="24"/>
          <w:szCs w:val="24"/>
        </w:rPr>
        <w:pict>
          <v:shapetype id="_x0000_t202" coordsize="21600,21600" o:spt="202" path="m,l,21600r21600,l21600,xe">
            <v:stroke joinstyle="miter"/>
            <v:path gradientshapeok="t" o:connecttype="rect"/>
          </v:shapetype>
          <v:shape id="_x0000_s1037" type="#_x0000_t202" style="position:absolute;left:0;text-align:left;margin-left:134.6pt;margin-top:11.7pt;width:314pt;height:53.5pt;z-index:251661312" strokeweight=".5pt">
            <v:textbox style="mso-next-textbox:#_x0000_s1037">
              <w:txbxContent>
                <w:p w:rsidR="006E572A" w:rsidRDefault="006E572A" w:rsidP="00272D69">
                  <w:pPr>
                    <w:jc w:val="center"/>
                    <w:rPr>
                      <w:rFonts w:ascii="Century" w:hAnsi="Century"/>
                      <w:b/>
                      <w:sz w:val="14"/>
                      <w:szCs w:val="14"/>
                    </w:rPr>
                  </w:pPr>
                </w:p>
                <w:p w:rsidR="006E572A" w:rsidRPr="00ED4092" w:rsidRDefault="006E572A" w:rsidP="00272D69">
                  <w:pPr>
                    <w:jc w:val="center"/>
                    <w:rPr>
                      <w:rFonts w:ascii="Century" w:hAnsi="Century"/>
                      <w:b/>
                      <w:sz w:val="12"/>
                      <w:szCs w:val="12"/>
                    </w:rPr>
                  </w:pPr>
                  <w:r w:rsidRPr="00ED4092">
                    <w:rPr>
                      <w:rFonts w:ascii="Century" w:hAnsi="Century"/>
                      <w:b/>
                      <w:sz w:val="12"/>
                      <w:szCs w:val="12"/>
                    </w:rPr>
                    <w:t>REDUCCIONES POR ADQUISICIONES DE DETERMINADOS BIENES</w:t>
                  </w:r>
                </w:p>
                <w:p w:rsidR="006E572A" w:rsidRDefault="006E572A"/>
              </w:txbxContent>
            </v:textbox>
          </v:shape>
        </w:pict>
      </w:r>
      <w:r>
        <w:rPr>
          <w:rFonts w:ascii="Century" w:hAnsi="Century"/>
          <w:noProof/>
          <w:sz w:val="24"/>
          <w:szCs w:val="24"/>
        </w:rPr>
        <w:pict>
          <v:shape id="_x0000_s1034" type="#_x0000_t202" style="position:absolute;left:0;text-align:left;margin-left:53.6pt;margin-top:11.7pt;width:81pt;height:53.5pt;z-index:251660288" strokeweight=".5pt">
            <v:textbox style="mso-next-textbox:#_x0000_s1034">
              <w:txbxContent>
                <w:p w:rsidR="006E572A" w:rsidRPr="001877EA" w:rsidRDefault="006E572A" w:rsidP="001877EA">
                  <w:pPr>
                    <w:spacing w:after="0" w:line="360" w:lineRule="auto"/>
                    <w:jc w:val="center"/>
                    <w:rPr>
                      <w:rFonts w:ascii="Century" w:hAnsi="Century"/>
                      <w:b/>
                      <w:sz w:val="2"/>
                      <w:szCs w:val="2"/>
                    </w:rPr>
                  </w:pPr>
                </w:p>
                <w:p w:rsidR="006E572A" w:rsidRPr="00272D69" w:rsidRDefault="006E572A" w:rsidP="001877EA">
                  <w:pPr>
                    <w:spacing w:line="360" w:lineRule="auto"/>
                    <w:jc w:val="center"/>
                    <w:rPr>
                      <w:rFonts w:ascii="Century" w:hAnsi="Century"/>
                      <w:b/>
                      <w:sz w:val="12"/>
                      <w:szCs w:val="12"/>
                    </w:rPr>
                  </w:pPr>
                  <w:r w:rsidRPr="00272D69">
                    <w:rPr>
                      <w:rFonts w:ascii="Century" w:hAnsi="Century"/>
                      <w:b/>
                      <w:sz w:val="12"/>
                      <w:szCs w:val="12"/>
                    </w:rPr>
                    <w:t>REDUCCIONES POR CIRCUNSTA</w:t>
                  </w:r>
                  <w:r>
                    <w:rPr>
                      <w:rFonts w:ascii="Century" w:hAnsi="Century"/>
                      <w:b/>
                      <w:sz w:val="12"/>
                      <w:szCs w:val="12"/>
                    </w:rPr>
                    <w:t>NCIAS FAMILIARES Y/O PERSONALES</w:t>
                  </w:r>
                </w:p>
              </w:txbxContent>
            </v:textbox>
          </v:shape>
        </w:pict>
      </w:r>
    </w:p>
    <w:p w:rsidR="002B0C67" w:rsidRPr="002C13F3" w:rsidRDefault="002B0C67" w:rsidP="002D11BC">
      <w:pPr>
        <w:spacing w:after="240" w:line="360" w:lineRule="auto"/>
        <w:jc w:val="both"/>
        <w:rPr>
          <w:rFonts w:ascii="Century" w:hAnsi="Century"/>
        </w:rPr>
      </w:pPr>
    </w:p>
    <w:tbl>
      <w:tblPr>
        <w:tblStyle w:val="Tablaconcuadrcula"/>
        <w:tblW w:w="5427" w:type="pct"/>
        <w:jc w:val="center"/>
        <w:tblInd w:w="-459" w:type="dxa"/>
        <w:tblBorders>
          <w:right w:val="none" w:sz="0" w:space="0" w:color="auto"/>
        </w:tblBorders>
        <w:tblLayout w:type="fixed"/>
        <w:tblLook w:val="04A0"/>
      </w:tblPr>
      <w:tblGrid>
        <w:gridCol w:w="146"/>
        <w:gridCol w:w="1418"/>
        <w:gridCol w:w="907"/>
        <w:gridCol w:w="706"/>
        <w:gridCol w:w="454"/>
        <w:gridCol w:w="708"/>
        <w:gridCol w:w="1170"/>
        <w:gridCol w:w="706"/>
        <w:gridCol w:w="706"/>
        <w:gridCol w:w="992"/>
        <w:gridCol w:w="706"/>
        <w:gridCol w:w="426"/>
        <w:gridCol w:w="420"/>
      </w:tblGrid>
      <w:tr w:rsidR="00451BDA" w:rsidRPr="0099038E" w:rsidTr="0099038E">
        <w:trPr>
          <w:gridBefore w:val="1"/>
          <w:wBefore w:w="77" w:type="pct"/>
          <w:cantSplit/>
          <w:trHeight w:val="3002"/>
          <w:jc w:val="center"/>
        </w:trPr>
        <w:tc>
          <w:tcPr>
            <w:tcW w:w="749" w:type="pct"/>
            <w:tcBorders>
              <w:top w:val="nil"/>
              <w:left w:val="nil"/>
            </w:tcBorders>
            <w:textDirection w:val="btLr"/>
          </w:tcPr>
          <w:p w:rsidR="00A72579" w:rsidRPr="0099038E" w:rsidRDefault="002B0C67" w:rsidP="0097016D">
            <w:pPr>
              <w:spacing w:line="360" w:lineRule="auto"/>
              <w:ind w:left="113" w:right="113"/>
              <w:jc w:val="both"/>
              <w:rPr>
                <w:rFonts w:ascii="Century" w:hAnsi="Century"/>
                <w:sz w:val="18"/>
                <w:szCs w:val="18"/>
              </w:rPr>
            </w:pPr>
            <w:r w:rsidRPr="0099038E">
              <w:rPr>
                <w:rFonts w:ascii="Century" w:hAnsi="Century"/>
                <w:sz w:val="18"/>
                <w:szCs w:val="18"/>
              </w:rPr>
              <w:t xml:space="preserve"> </w:t>
            </w:r>
          </w:p>
          <w:p w:rsidR="00D00686" w:rsidRPr="0099038E" w:rsidRDefault="00D54E3E" w:rsidP="0097016D">
            <w:pPr>
              <w:spacing w:line="360" w:lineRule="auto"/>
              <w:ind w:left="113" w:right="113"/>
              <w:jc w:val="both"/>
              <w:rPr>
                <w:rFonts w:ascii="Century" w:hAnsi="Century"/>
                <w:b/>
                <w:sz w:val="18"/>
                <w:szCs w:val="18"/>
              </w:rPr>
            </w:pPr>
            <w:r w:rsidRPr="0099038E">
              <w:rPr>
                <w:rFonts w:ascii="Century" w:hAnsi="Century"/>
                <w:sz w:val="18"/>
                <w:szCs w:val="18"/>
              </w:rPr>
              <w:tab/>
            </w:r>
          </w:p>
          <w:p w:rsidR="002B0C67" w:rsidRPr="0099038E" w:rsidRDefault="002B0C67" w:rsidP="0097016D">
            <w:pPr>
              <w:spacing w:line="360" w:lineRule="auto"/>
              <w:ind w:left="113" w:right="113"/>
              <w:jc w:val="both"/>
              <w:rPr>
                <w:rFonts w:ascii="Century" w:hAnsi="Century"/>
                <w:b/>
                <w:sz w:val="18"/>
                <w:szCs w:val="18"/>
              </w:rPr>
            </w:pPr>
          </w:p>
          <w:p w:rsidR="002B0C67" w:rsidRPr="0099038E" w:rsidRDefault="002B0C67" w:rsidP="0097016D">
            <w:pPr>
              <w:spacing w:line="360" w:lineRule="auto"/>
              <w:ind w:left="113" w:right="113"/>
              <w:jc w:val="both"/>
              <w:rPr>
                <w:rFonts w:ascii="Century" w:hAnsi="Century"/>
                <w:b/>
                <w:sz w:val="18"/>
                <w:szCs w:val="18"/>
              </w:rPr>
            </w:pPr>
          </w:p>
          <w:p w:rsidR="002B0C67" w:rsidRPr="0099038E" w:rsidRDefault="002B0C67" w:rsidP="0097016D">
            <w:pPr>
              <w:spacing w:line="360" w:lineRule="auto"/>
              <w:ind w:left="113" w:right="113"/>
              <w:jc w:val="both"/>
              <w:rPr>
                <w:rFonts w:ascii="Century" w:hAnsi="Century"/>
                <w:b/>
                <w:sz w:val="18"/>
                <w:szCs w:val="18"/>
              </w:rPr>
            </w:pPr>
          </w:p>
          <w:p w:rsidR="002B0C67" w:rsidRPr="0099038E" w:rsidRDefault="002B0C67" w:rsidP="0097016D">
            <w:pPr>
              <w:spacing w:line="360" w:lineRule="auto"/>
              <w:ind w:left="113" w:right="113"/>
              <w:jc w:val="both"/>
              <w:rPr>
                <w:rFonts w:ascii="Century" w:hAnsi="Century"/>
                <w:b/>
                <w:sz w:val="18"/>
                <w:szCs w:val="18"/>
              </w:rPr>
            </w:pPr>
          </w:p>
          <w:p w:rsidR="002B0C67" w:rsidRPr="0099038E" w:rsidRDefault="002B0C67" w:rsidP="0097016D">
            <w:pPr>
              <w:spacing w:line="360" w:lineRule="auto"/>
              <w:ind w:left="113" w:right="113"/>
              <w:jc w:val="both"/>
              <w:rPr>
                <w:rFonts w:ascii="Century" w:hAnsi="Century"/>
                <w:b/>
                <w:sz w:val="18"/>
                <w:szCs w:val="18"/>
              </w:rPr>
            </w:pPr>
          </w:p>
          <w:p w:rsidR="002B0C67" w:rsidRPr="0099038E" w:rsidRDefault="002B0C67" w:rsidP="0097016D">
            <w:pPr>
              <w:spacing w:line="360" w:lineRule="auto"/>
              <w:ind w:left="113" w:right="113"/>
              <w:jc w:val="both"/>
              <w:rPr>
                <w:rFonts w:ascii="Century" w:hAnsi="Century"/>
                <w:b/>
                <w:sz w:val="18"/>
                <w:szCs w:val="18"/>
              </w:rPr>
            </w:pPr>
          </w:p>
          <w:p w:rsidR="002B0C67" w:rsidRPr="0099038E" w:rsidRDefault="002B0C67" w:rsidP="0097016D">
            <w:pPr>
              <w:spacing w:line="360" w:lineRule="auto"/>
              <w:ind w:left="113" w:right="113"/>
              <w:jc w:val="both"/>
              <w:rPr>
                <w:rFonts w:ascii="Century" w:hAnsi="Century"/>
                <w:b/>
                <w:sz w:val="18"/>
                <w:szCs w:val="18"/>
              </w:rPr>
            </w:pPr>
          </w:p>
          <w:p w:rsidR="002B0C67" w:rsidRPr="0099038E" w:rsidRDefault="002B0C67" w:rsidP="0097016D">
            <w:pPr>
              <w:spacing w:line="360" w:lineRule="auto"/>
              <w:ind w:left="113" w:right="113"/>
              <w:jc w:val="both"/>
              <w:rPr>
                <w:rFonts w:ascii="Century" w:hAnsi="Century"/>
                <w:b/>
                <w:sz w:val="18"/>
                <w:szCs w:val="18"/>
              </w:rPr>
            </w:pPr>
          </w:p>
          <w:p w:rsidR="002B0C67" w:rsidRPr="0099038E" w:rsidRDefault="002B0C67" w:rsidP="0097016D">
            <w:pPr>
              <w:spacing w:line="360" w:lineRule="auto"/>
              <w:ind w:left="113" w:right="113"/>
              <w:jc w:val="both"/>
              <w:rPr>
                <w:rFonts w:ascii="Century" w:hAnsi="Century"/>
                <w:b/>
                <w:sz w:val="18"/>
                <w:szCs w:val="18"/>
              </w:rPr>
            </w:pPr>
          </w:p>
          <w:p w:rsidR="002B0C67" w:rsidRPr="0099038E" w:rsidRDefault="002B0C67" w:rsidP="0097016D">
            <w:pPr>
              <w:spacing w:line="360" w:lineRule="auto"/>
              <w:ind w:left="113" w:right="113"/>
              <w:jc w:val="both"/>
              <w:rPr>
                <w:rFonts w:ascii="Century" w:hAnsi="Century"/>
                <w:b/>
                <w:sz w:val="18"/>
                <w:szCs w:val="18"/>
              </w:rPr>
            </w:pPr>
          </w:p>
        </w:tc>
        <w:tc>
          <w:tcPr>
            <w:tcW w:w="479" w:type="pct"/>
            <w:textDirection w:val="btLr"/>
          </w:tcPr>
          <w:p w:rsidR="00D00686" w:rsidRPr="0099038E" w:rsidRDefault="00823964" w:rsidP="00307DF6">
            <w:pPr>
              <w:spacing w:line="276" w:lineRule="auto"/>
              <w:ind w:left="113" w:right="113"/>
              <w:jc w:val="center"/>
              <w:rPr>
                <w:rFonts w:ascii="Century" w:hAnsi="Century"/>
                <w:b/>
                <w:sz w:val="18"/>
                <w:szCs w:val="18"/>
              </w:rPr>
            </w:pPr>
            <w:r w:rsidRPr="0099038E">
              <w:rPr>
                <w:rFonts w:ascii="Century" w:hAnsi="Century"/>
                <w:b/>
                <w:sz w:val="18"/>
                <w:szCs w:val="18"/>
              </w:rPr>
              <w:t>Adquisición p</w:t>
            </w:r>
            <w:r w:rsidR="00D00686" w:rsidRPr="0099038E">
              <w:rPr>
                <w:rFonts w:ascii="Century" w:hAnsi="Century"/>
                <w:b/>
                <w:sz w:val="18"/>
                <w:szCs w:val="18"/>
              </w:rPr>
              <w:t>or relación</w:t>
            </w:r>
            <w:r w:rsidR="006A5290">
              <w:rPr>
                <w:rFonts w:ascii="Century" w:hAnsi="Century"/>
                <w:b/>
                <w:sz w:val="18"/>
                <w:szCs w:val="18"/>
              </w:rPr>
              <w:t xml:space="preserve"> parental</w:t>
            </w:r>
            <w:r w:rsidR="00D00686" w:rsidRPr="0099038E">
              <w:rPr>
                <w:rFonts w:ascii="Century" w:hAnsi="Century" w:cstheme="minorHAnsi"/>
                <w:b/>
                <w:sz w:val="18"/>
                <w:szCs w:val="18"/>
              </w:rPr>
              <w:t>:</w:t>
            </w:r>
            <w:r w:rsidR="00D00686" w:rsidRPr="0099038E">
              <w:rPr>
                <w:rFonts w:ascii="Century" w:hAnsi="Century"/>
                <w:b/>
                <w:sz w:val="18"/>
                <w:szCs w:val="18"/>
              </w:rPr>
              <w:t xml:space="preserve"> cónyuge, ascendientes y descendientes</w:t>
            </w:r>
          </w:p>
        </w:tc>
        <w:tc>
          <w:tcPr>
            <w:tcW w:w="373" w:type="pct"/>
            <w:textDirection w:val="btLr"/>
          </w:tcPr>
          <w:p w:rsidR="00D00686" w:rsidRPr="0099038E" w:rsidRDefault="00823964" w:rsidP="00307DF6">
            <w:pPr>
              <w:spacing w:line="276" w:lineRule="auto"/>
              <w:ind w:left="113" w:right="113"/>
              <w:jc w:val="center"/>
              <w:rPr>
                <w:rFonts w:ascii="Century" w:hAnsi="Century"/>
                <w:b/>
                <w:sz w:val="18"/>
                <w:szCs w:val="18"/>
              </w:rPr>
            </w:pPr>
            <w:r w:rsidRPr="0099038E">
              <w:rPr>
                <w:rFonts w:ascii="Century" w:hAnsi="Century"/>
                <w:b/>
                <w:sz w:val="18"/>
                <w:szCs w:val="18"/>
              </w:rPr>
              <w:t>Adquisición por personas con discapacidad</w:t>
            </w:r>
          </w:p>
        </w:tc>
        <w:tc>
          <w:tcPr>
            <w:tcW w:w="240" w:type="pct"/>
            <w:textDirection w:val="btLr"/>
          </w:tcPr>
          <w:p w:rsidR="00D00686" w:rsidRPr="0099038E" w:rsidRDefault="00823964" w:rsidP="00307DF6">
            <w:pPr>
              <w:spacing w:line="276" w:lineRule="auto"/>
              <w:ind w:left="113" w:right="113"/>
              <w:jc w:val="center"/>
              <w:rPr>
                <w:rFonts w:ascii="Century" w:hAnsi="Century"/>
                <w:b/>
                <w:sz w:val="18"/>
                <w:szCs w:val="18"/>
              </w:rPr>
            </w:pPr>
            <w:r w:rsidRPr="0099038E">
              <w:rPr>
                <w:rFonts w:ascii="Century" w:hAnsi="Century"/>
                <w:b/>
                <w:sz w:val="18"/>
                <w:szCs w:val="18"/>
              </w:rPr>
              <w:t>Adquisición de vivienda habitual</w:t>
            </w:r>
          </w:p>
        </w:tc>
        <w:tc>
          <w:tcPr>
            <w:tcW w:w="374" w:type="pct"/>
            <w:textDirection w:val="btLr"/>
          </w:tcPr>
          <w:p w:rsidR="00D00686" w:rsidRPr="0099038E" w:rsidRDefault="00BF418B" w:rsidP="00307DF6">
            <w:pPr>
              <w:spacing w:line="276" w:lineRule="auto"/>
              <w:ind w:left="113" w:right="113"/>
              <w:jc w:val="center"/>
              <w:rPr>
                <w:rFonts w:ascii="Century" w:hAnsi="Century"/>
                <w:b/>
                <w:sz w:val="18"/>
                <w:szCs w:val="18"/>
              </w:rPr>
            </w:pPr>
            <w:r w:rsidRPr="0099038E">
              <w:rPr>
                <w:rFonts w:ascii="Century" w:hAnsi="Century"/>
                <w:b/>
                <w:sz w:val="18"/>
                <w:szCs w:val="18"/>
              </w:rPr>
              <w:t>Adquisición por b</w:t>
            </w:r>
            <w:r w:rsidR="00823964" w:rsidRPr="0099038E">
              <w:rPr>
                <w:rFonts w:ascii="Century" w:hAnsi="Century"/>
                <w:b/>
                <w:sz w:val="18"/>
                <w:szCs w:val="18"/>
              </w:rPr>
              <w:t>eneficiarios de seguros sobre la vida</w:t>
            </w:r>
          </w:p>
        </w:tc>
        <w:tc>
          <w:tcPr>
            <w:tcW w:w="618" w:type="pct"/>
            <w:textDirection w:val="btLr"/>
          </w:tcPr>
          <w:p w:rsidR="00D00686" w:rsidRPr="0099038E" w:rsidRDefault="00823964" w:rsidP="00307DF6">
            <w:pPr>
              <w:spacing w:line="276" w:lineRule="auto"/>
              <w:ind w:left="113" w:right="113"/>
              <w:jc w:val="center"/>
              <w:rPr>
                <w:rFonts w:ascii="Century" w:hAnsi="Century"/>
                <w:b/>
                <w:sz w:val="18"/>
                <w:szCs w:val="18"/>
              </w:rPr>
            </w:pPr>
            <w:r w:rsidRPr="0099038E">
              <w:rPr>
                <w:rFonts w:ascii="Century" w:hAnsi="Century"/>
                <w:b/>
                <w:sz w:val="18"/>
                <w:szCs w:val="18"/>
              </w:rPr>
              <w:t>Adquisición de empresas individuales, negocios profesionales o participaciones en entidades</w:t>
            </w:r>
          </w:p>
        </w:tc>
        <w:tc>
          <w:tcPr>
            <w:tcW w:w="373" w:type="pct"/>
            <w:textDirection w:val="btLr"/>
          </w:tcPr>
          <w:p w:rsidR="00D00686" w:rsidRPr="0099038E" w:rsidRDefault="00BF418B" w:rsidP="00307DF6">
            <w:pPr>
              <w:spacing w:line="276" w:lineRule="auto"/>
              <w:ind w:left="113" w:right="113"/>
              <w:jc w:val="center"/>
              <w:rPr>
                <w:rFonts w:ascii="Century" w:hAnsi="Century"/>
                <w:b/>
                <w:sz w:val="18"/>
                <w:szCs w:val="18"/>
              </w:rPr>
            </w:pPr>
            <w:r w:rsidRPr="0099038E">
              <w:rPr>
                <w:rFonts w:ascii="Century" w:hAnsi="Century"/>
                <w:b/>
                <w:sz w:val="18"/>
                <w:szCs w:val="18"/>
              </w:rPr>
              <w:t>Adquisición por c</w:t>
            </w:r>
            <w:r w:rsidR="00823964" w:rsidRPr="0099038E">
              <w:rPr>
                <w:rFonts w:ascii="Century" w:hAnsi="Century"/>
                <w:b/>
                <w:sz w:val="18"/>
                <w:szCs w:val="18"/>
              </w:rPr>
              <w:t>reación de empresas y empleo</w:t>
            </w:r>
          </w:p>
        </w:tc>
        <w:tc>
          <w:tcPr>
            <w:tcW w:w="373" w:type="pct"/>
            <w:textDirection w:val="btLr"/>
          </w:tcPr>
          <w:p w:rsidR="00D00686" w:rsidRPr="0099038E" w:rsidRDefault="00823964" w:rsidP="00307DF6">
            <w:pPr>
              <w:spacing w:line="276" w:lineRule="auto"/>
              <w:ind w:left="113" w:right="113"/>
              <w:jc w:val="center"/>
              <w:rPr>
                <w:rFonts w:ascii="Century" w:hAnsi="Century"/>
                <w:b/>
                <w:sz w:val="18"/>
                <w:szCs w:val="18"/>
              </w:rPr>
            </w:pPr>
            <w:r w:rsidRPr="0099038E">
              <w:rPr>
                <w:rFonts w:ascii="Century" w:hAnsi="Century"/>
                <w:b/>
                <w:sz w:val="18"/>
                <w:szCs w:val="18"/>
              </w:rPr>
              <w:t>Adquisición de explotaciones</w:t>
            </w:r>
            <w:r w:rsidR="00EB0526" w:rsidRPr="0099038E">
              <w:rPr>
                <w:rFonts w:ascii="Century" w:hAnsi="Century"/>
                <w:b/>
                <w:sz w:val="18"/>
                <w:szCs w:val="18"/>
              </w:rPr>
              <w:t xml:space="preserve"> agrarias</w:t>
            </w:r>
          </w:p>
        </w:tc>
        <w:tc>
          <w:tcPr>
            <w:tcW w:w="524" w:type="pct"/>
            <w:textDirection w:val="btLr"/>
          </w:tcPr>
          <w:p w:rsidR="00D00686" w:rsidRPr="0099038E" w:rsidRDefault="00823964" w:rsidP="00307DF6">
            <w:pPr>
              <w:spacing w:line="276" w:lineRule="auto"/>
              <w:ind w:left="113" w:right="113"/>
              <w:jc w:val="center"/>
              <w:rPr>
                <w:rFonts w:ascii="Century" w:hAnsi="Century"/>
                <w:b/>
                <w:sz w:val="18"/>
                <w:szCs w:val="18"/>
              </w:rPr>
            </w:pPr>
            <w:r w:rsidRPr="0099038E">
              <w:rPr>
                <w:rFonts w:ascii="Century" w:hAnsi="Century"/>
                <w:b/>
                <w:sz w:val="18"/>
                <w:szCs w:val="18"/>
              </w:rPr>
              <w:t>Adquisición de bienes integra</w:t>
            </w:r>
            <w:r w:rsidR="00BF418B" w:rsidRPr="0099038E">
              <w:rPr>
                <w:rFonts w:ascii="Century" w:hAnsi="Century"/>
                <w:b/>
                <w:sz w:val="18"/>
                <w:szCs w:val="18"/>
              </w:rPr>
              <w:t xml:space="preserve">ntes del patrimonio histórico , </w:t>
            </w:r>
            <w:r w:rsidRPr="0099038E">
              <w:rPr>
                <w:rFonts w:ascii="Century" w:hAnsi="Century"/>
                <w:b/>
                <w:sz w:val="18"/>
                <w:szCs w:val="18"/>
              </w:rPr>
              <w:t>cultural o natural</w:t>
            </w:r>
          </w:p>
        </w:tc>
        <w:tc>
          <w:tcPr>
            <w:tcW w:w="373" w:type="pct"/>
            <w:textDirection w:val="btLr"/>
          </w:tcPr>
          <w:p w:rsidR="00D00686" w:rsidRPr="0099038E" w:rsidRDefault="00823964" w:rsidP="00307DF6">
            <w:pPr>
              <w:spacing w:line="276" w:lineRule="auto"/>
              <w:ind w:left="113" w:right="113"/>
              <w:jc w:val="center"/>
              <w:rPr>
                <w:rFonts w:ascii="Century" w:hAnsi="Century"/>
                <w:b/>
                <w:sz w:val="18"/>
                <w:szCs w:val="18"/>
              </w:rPr>
            </w:pPr>
            <w:r w:rsidRPr="0099038E">
              <w:rPr>
                <w:rFonts w:ascii="Century" w:hAnsi="Century"/>
                <w:b/>
                <w:sz w:val="18"/>
                <w:szCs w:val="18"/>
              </w:rPr>
              <w:t>Transmisión consecutiva de bienes o sobreimposición decenal</w:t>
            </w:r>
          </w:p>
        </w:tc>
        <w:tc>
          <w:tcPr>
            <w:tcW w:w="225" w:type="pct"/>
            <w:textDirection w:val="btLr"/>
          </w:tcPr>
          <w:p w:rsidR="00D00686" w:rsidRPr="0099038E" w:rsidRDefault="00823964" w:rsidP="00307DF6">
            <w:pPr>
              <w:spacing w:line="276" w:lineRule="auto"/>
              <w:ind w:left="113" w:right="113"/>
              <w:jc w:val="center"/>
              <w:rPr>
                <w:rFonts w:ascii="Century" w:hAnsi="Century"/>
                <w:b/>
                <w:sz w:val="18"/>
                <w:szCs w:val="18"/>
              </w:rPr>
            </w:pPr>
            <w:r w:rsidRPr="0099038E">
              <w:rPr>
                <w:rFonts w:ascii="Century" w:hAnsi="Century"/>
                <w:b/>
                <w:sz w:val="18"/>
                <w:szCs w:val="18"/>
              </w:rPr>
              <w:t>Actos de terrorismo</w:t>
            </w:r>
          </w:p>
        </w:tc>
        <w:tc>
          <w:tcPr>
            <w:tcW w:w="223" w:type="pct"/>
            <w:tcBorders>
              <w:right w:val="single" w:sz="4" w:space="0" w:color="auto"/>
            </w:tcBorders>
            <w:textDirection w:val="btLr"/>
          </w:tcPr>
          <w:p w:rsidR="00D00686" w:rsidRPr="0099038E" w:rsidRDefault="00823964" w:rsidP="00307DF6">
            <w:pPr>
              <w:spacing w:line="276" w:lineRule="auto"/>
              <w:ind w:left="113" w:right="113"/>
              <w:jc w:val="center"/>
              <w:rPr>
                <w:rFonts w:ascii="Century" w:hAnsi="Century"/>
                <w:b/>
                <w:sz w:val="18"/>
                <w:szCs w:val="18"/>
              </w:rPr>
            </w:pPr>
            <w:r w:rsidRPr="0099038E">
              <w:rPr>
                <w:rFonts w:ascii="Century" w:hAnsi="Century"/>
                <w:b/>
                <w:sz w:val="18"/>
                <w:szCs w:val="18"/>
              </w:rPr>
              <w:t>Indemnizaciones</w:t>
            </w:r>
          </w:p>
        </w:tc>
      </w:tr>
      <w:tr w:rsidR="00451BDA" w:rsidRPr="0099038E" w:rsidTr="00451BDA">
        <w:trPr>
          <w:jc w:val="center"/>
        </w:trPr>
        <w:tc>
          <w:tcPr>
            <w:tcW w:w="826" w:type="pct"/>
            <w:gridSpan w:val="2"/>
            <w:vAlign w:val="center"/>
          </w:tcPr>
          <w:p w:rsidR="00D00686" w:rsidRPr="0099038E" w:rsidRDefault="00823964" w:rsidP="00713588">
            <w:pPr>
              <w:spacing w:line="360" w:lineRule="auto"/>
              <w:jc w:val="center"/>
              <w:rPr>
                <w:rFonts w:ascii="Century" w:hAnsi="Century"/>
                <w:b/>
                <w:sz w:val="18"/>
                <w:szCs w:val="18"/>
              </w:rPr>
            </w:pPr>
            <w:r w:rsidRPr="0099038E">
              <w:rPr>
                <w:rFonts w:ascii="Century" w:hAnsi="Century"/>
                <w:b/>
                <w:sz w:val="18"/>
                <w:szCs w:val="18"/>
              </w:rPr>
              <w:t>Andalucía</w:t>
            </w:r>
          </w:p>
        </w:tc>
        <w:tc>
          <w:tcPr>
            <w:tcW w:w="479" w:type="pct"/>
            <w:vAlign w:val="center"/>
          </w:tcPr>
          <w:p w:rsidR="00D00686" w:rsidRPr="0099038E" w:rsidRDefault="00451BDA" w:rsidP="00713588">
            <w:pPr>
              <w:spacing w:line="360" w:lineRule="auto"/>
              <w:jc w:val="center"/>
              <w:rPr>
                <w:rFonts w:ascii="Century" w:hAnsi="Century"/>
                <w:sz w:val="16"/>
                <w:szCs w:val="16"/>
              </w:rPr>
            </w:pPr>
            <w:r w:rsidRPr="0099038E">
              <w:rPr>
                <w:rFonts w:ascii="Century" w:hAnsi="Century"/>
                <w:sz w:val="16"/>
                <w:szCs w:val="16"/>
              </w:rPr>
              <w:t>X</w:t>
            </w:r>
          </w:p>
        </w:tc>
        <w:tc>
          <w:tcPr>
            <w:tcW w:w="373" w:type="pct"/>
            <w:vAlign w:val="center"/>
          </w:tcPr>
          <w:p w:rsidR="00D00686" w:rsidRPr="0099038E" w:rsidRDefault="00451BDA" w:rsidP="00713588">
            <w:pPr>
              <w:spacing w:line="360" w:lineRule="auto"/>
              <w:jc w:val="center"/>
              <w:rPr>
                <w:rFonts w:ascii="Century" w:hAnsi="Century"/>
                <w:sz w:val="16"/>
                <w:szCs w:val="16"/>
              </w:rPr>
            </w:pPr>
            <w:r w:rsidRPr="0099038E">
              <w:rPr>
                <w:rFonts w:ascii="Century" w:hAnsi="Century"/>
                <w:sz w:val="16"/>
                <w:szCs w:val="16"/>
              </w:rPr>
              <w:t>X</w:t>
            </w:r>
          </w:p>
        </w:tc>
        <w:tc>
          <w:tcPr>
            <w:tcW w:w="240" w:type="pct"/>
            <w:vAlign w:val="center"/>
          </w:tcPr>
          <w:p w:rsidR="00D00686" w:rsidRPr="0099038E" w:rsidRDefault="00451BDA" w:rsidP="00713588">
            <w:pPr>
              <w:spacing w:line="360" w:lineRule="auto"/>
              <w:jc w:val="center"/>
              <w:rPr>
                <w:rFonts w:ascii="Century" w:hAnsi="Century"/>
                <w:sz w:val="16"/>
                <w:szCs w:val="16"/>
              </w:rPr>
            </w:pPr>
            <w:r w:rsidRPr="0099038E">
              <w:rPr>
                <w:rFonts w:ascii="Century" w:hAnsi="Century"/>
                <w:sz w:val="16"/>
                <w:szCs w:val="16"/>
              </w:rPr>
              <w:t>X</w:t>
            </w:r>
          </w:p>
        </w:tc>
        <w:tc>
          <w:tcPr>
            <w:tcW w:w="374" w:type="pct"/>
            <w:vAlign w:val="center"/>
          </w:tcPr>
          <w:p w:rsidR="00D00686" w:rsidRPr="0099038E" w:rsidRDefault="00D00686" w:rsidP="00713588">
            <w:pPr>
              <w:spacing w:line="360" w:lineRule="auto"/>
              <w:jc w:val="center"/>
              <w:rPr>
                <w:rFonts w:ascii="Century" w:hAnsi="Century"/>
                <w:sz w:val="16"/>
                <w:szCs w:val="16"/>
              </w:rPr>
            </w:pPr>
          </w:p>
        </w:tc>
        <w:tc>
          <w:tcPr>
            <w:tcW w:w="618" w:type="pct"/>
            <w:vAlign w:val="center"/>
          </w:tcPr>
          <w:p w:rsidR="00D00686" w:rsidRPr="0099038E" w:rsidRDefault="00451BDA" w:rsidP="00713588">
            <w:pPr>
              <w:spacing w:line="360" w:lineRule="auto"/>
              <w:jc w:val="center"/>
              <w:rPr>
                <w:rFonts w:ascii="Century" w:hAnsi="Century"/>
                <w:sz w:val="16"/>
                <w:szCs w:val="16"/>
              </w:rPr>
            </w:pPr>
            <w:r w:rsidRPr="0099038E">
              <w:rPr>
                <w:rFonts w:ascii="Century" w:hAnsi="Century"/>
                <w:sz w:val="16"/>
                <w:szCs w:val="16"/>
              </w:rPr>
              <w:t>X</w:t>
            </w:r>
          </w:p>
        </w:tc>
        <w:tc>
          <w:tcPr>
            <w:tcW w:w="373" w:type="pct"/>
            <w:vAlign w:val="center"/>
          </w:tcPr>
          <w:p w:rsidR="00D00686" w:rsidRPr="0099038E" w:rsidRDefault="00D00686" w:rsidP="00713588">
            <w:pPr>
              <w:spacing w:line="360" w:lineRule="auto"/>
              <w:jc w:val="center"/>
              <w:rPr>
                <w:rFonts w:ascii="Century" w:hAnsi="Century"/>
                <w:sz w:val="16"/>
                <w:szCs w:val="16"/>
              </w:rPr>
            </w:pPr>
          </w:p>
        </w:tc>
        <w:tc>
          <w:tcPr>
            <w:tcW w:w="373" w:type="pct"/>
            <w:vAlign w:val="center"/>
          </w:tcPr>
          <w:p w:rsidR="00D00686" w:rsidRPr="0099038E" w:rsidRDefault="00451BDA" w:rsidP="00713588">
            <w:pPr>
              <w:spacing w:line="360" w:lineRule="auto"/>
              <w:jc w:val="center"/>
              <w:rPr>
                <w:rFonts w:ascii="Century" w:hAnsi="Century"/>
                <w:sz w:val="16"/>
                <w:szCs w:val="16"/>
              </w:rPr>
            </w:pPr>
            <w:r w:rsidRPr="0099038E">
              <w:rPr>
                <w:rFonts w:ascii="Century" w:hAnsi="Century"/>
                <w:sz w:val="16"/>
                <w:szCs w:val="16"/>
              </w:rPr>
              <w:t>X</w:t>
            </w:r>
          </w:p>
        </w:tc>
        <w:tc>
          <w:tcPr>
            <w:tcW w:w="524" w:type="pct"/>
            <w:vAlign w:val="center"/>
          </w:tcPr>
          <w:p w:rsidR="00D00686" w:rsidRPr="0099038E" w:rsidRDefault="00D00686" w:rsidP="00713588">
            <w:pPr>
              <w:spacing w:line="360" w:lineRule="auto"/>
              <w:jc w:val="center"/>
              <w:rPr>
                <w:rFonts w:ascii="Century" w:hAnsi="Century"/>
                <w:sz w:val="16"/>
                <w:szCs w:val="16"/>
              </w:rPr>
            </w:pPr>
          </w:p>
        </w:tc>
        <w:tc>
          <w:tcPr>
            <w:tcW w:w="373" w:type="pct"/>
            <w:vAlign w:val="center"/>
          </w:tcPr>
          <w:p w:rsidR="00D00686" w:rsidRPr="0099038E" w:rsidRDefault="00D00686" w:rsidP="00713588">
            <w:pPr>
              <w:spacing w:line="360" w:lineRule="auto"/>
              <w:jc w:val="center"/>
              <w:rPr>
                <w:rFonts w:ascii="Century" w:hAnsi="Century"/>
                <w:sz w:val="16"/>
                <w:szCs w:val="16"/>
              </w:rPr>
            </w:pPr>
          </w:p>
        </w:tc>
        <w:tc>
          <w:tcPr>
            <w:tcW w:w="225" w:type="pct"/>
            <w:vAlign w:val="center"/>
          </w:tcPr>
          <w:p w:rsidR="00D00686" w:rsidRPr="0099038E" w:rsidRDefault="00D00686" w:rsidP="00713588">
            <w:pPr>
              <w:spacing w:line="360" w:lineRule="auto"/>
              <w:jc w:val="center"/>
              <w:rPr>
                <w:rFonts w:ascii="Century" w:hAnsi="Century"/>
                <w:sz w:val="16"/>
                <w:szCs w:val="16"/>
              </w:rPr>
            </w:pPr>
          </w:p>
        </w:tc>
        <w:tc>
          <w:tcPr>
            <w:tcW w:w="223" w:type="pct"/>
            <w:tcBorders>
              <w:right w:val="single" w:sz="4" w:space="0" w:color="auto"/>
            </w:tcBorders>
            <w:vAlign w:val="center"/>
          </w:tcPr>
          <w:p w:rsidR="00D00686" w:rsidRPr="0099038E" w:rsidRDefault="00D00686" w:rsidP="00713588">
            <w:pPr>
              <w:spacing w:line="360" w:lineRule="auto"/>
              <w:jc w:val="center"/>
              <w:rPr>
                <w:rFonts w:ascii="Century" w:hAnsi="Century"/>
                <w:sz w:val="16"/>
                <w:szCs w:val="16"/>
              </w:rPr>
            </w:pPr>
          </w:p>
        </w:tc>
      </w:tr>
      <w:tr w:rsidR="00451BDA" w:rsidRPr="0099038E" w:rsidTr="00451BDA">
        <w:trPr>
          <w:jc w:val="center"/>
        </w:trPr>
        <w:tc>
          <w:tcPr>
            <w:tcW w:w="826" w:type="pct"/>
            <w:gridSpan w:val="2"/>
            <w:vAlign w:val="center"/>
          </w:tcPr>
          <w:p w:rsidR="00D00686" w:rsidRPr="0099038E" w:rsidRDefault="00823964" w:rsidP="00713588">
            <w:pPr>
              <w:spacing w:line="360" w:lineRule="auto"/>
              <w:jc w:val="center"/>
              <w:rPr>
                <w:rFonts w:ascii="Century" w:hAnsi="Century"/>
                <w:b/>
                <w:sz w:val="18"/>
                <w:szCs w:val="18"/>
              </w:rPr>
            </w:pPr>
            <w:r w:rsidRPr="0099038E">
              <w:rPr>
                <w:rFonts w:ascii="Century" w:hAnsi="Century"/>
                <w:b/>
                <w:sz w:val="18"/>
                <w:szCs w:val="18"/>
              </w:rPr>
              <w:t>Aragón</w:t>
            </w:r>
          </w:p>
        </w:tc>
        <w:tc>
          <w:tcPr>
            <w:tcW w:w="479" w:type="pct"/>
            <w:vAlign w:val="center"/>
          </w:tcPr>
          <w:p w:rsidR="00D00686" w:rsidRPr="0099038E" w:rsidRDefault="00451BDA" w:rsidP="00713588">
            <w:pPr>
              <w:spacing w:line="360" w:lineRule="auto"/>
              <w:jc w:val="center"/>
              <w:rPr>
                <w:rFonts w:ascii="Century" w:hAnsi="Century"/>
                <w:sz w:val="16"/>
                <w:szCs w:val="16"/>
              </w:rPr>
            </w:pPr>
            <w:r w:rsidRPr="0099038E">
              <w:rPr>
                <w:rFonts w:ascii="Century" w:hAnsi="Century"/>
                <w:sz w:val="16"/>
                <w:szCs w:val="16"/>
              </w:rPr>
              <w:t>X</w:t>
            </w:r>
          </w:p>
        </w:tc>
        <w:tc>
          <w:tcPr>
            <w:tcW w:w="373" w:type="pct"/>
            <w:vAlign w:val="center"/>
          </w:tcPr>
          <w:p w:rsidR="00D00686" w:rsidRPr="0099038E" w:rsidRDefault="00451BDA" w:rsidP="00713588">
            <w:pPr>
              <w:spacing w:line="360" w:lineRule="auto"/>
              <w:jc w:val="center"/>
              <w:rPr>
                <w:rFonts w:ascii="Century" w:hAnsi="Century"/>
                <w:sz w:val="16"/>
                <w:szCs w:val="16"/>
              </w:rPr>
            </w:pPr>
            <w:r w:rsidRPr="0099038E">
              <w:rPr>
                <w:rFonts w:ascii="Century" w:hAnsi="Century"/>
                <w:sz w:val="16"/>
                <w:szCs w:val="16"/>
              </w:rPr>
              <w:t>X</w:t>
            </w:r>
          </w:p>
        </w:tc>
        <w:tc>
          <w:tcPr>
            <w:tcW w:w="240" w:type="pct"/>
            <w:vAlign w:val="center"/>
          </w:tcPr>
          <w:p w:rsidR="00D00686" w:rsidRPr="0099038E" w:rsidRDefault="00451BDA" w:rsidP="00713588">
            <w:pPr>
              <w:spacing w:line="360" w:lineRule="auto"/>
              <w:jc w:val="center"/>
              <w:rPr>
                <w:rFonts w:ascii="Century" w:hAnsi="Century"/>
                <w:sz w:val="16"/>
                <w:szCs w:val="16"/>
              </w:rPr>
            </w:pPr>
            <w:r w:rsidRPr="0099038E">
              <w:rPr>
                <w:rFonts w:ascii="Century" w:hAnsi="Century"/>
                <w:sz w:val="16"/>
                <w:szCs w:val="16"/>
              </w:rPr>
              <w:t>X</w:t>
            </w:r>
          </w:p>
        </w:tc>
        <w:tc>
          <w:tcPr>
            <w:tcW w:w="374" w:type="pct"/>
            <w:vAlign w:val="center"/>
          </w:tcPr>
          <w:p w:rsidR="00D00686" w:rsidRPr="0099038E" w:rsidRDefault="00D00686" w:rsidP="00713588">
            <w:pPr>
              <w:spacing w:line="360" w:lineRule="auto"/>
              <w:jc w:val="center"/>
              <w:rPr>
                <w:rFonts w:ascii="Century" w:hAnsi="Century"/>
                <w:sz w:val="16"/>
                <w:szCs w:val="16"/>
              </w:rPr>
            </w:pPr>
          </w:p>
        </w:tc>
        <w:tc>
          <w:tcPr>
            <w:tcW w:w="618" w:type="pct"/>
            <w:vAlign w:val="center"/>
          </w:tcPr>
          <w:p w:rsidR="00D00686" w:rsidRPr="0099038E" w:rsidRDefault="00451BDA" w:rsidP="00713588">
            <w:pPr>
              <w:spacing w:line="360" w:lineRule="auto"/>
              <w:jc w:val="center"/>
              <w:rPr>
                <w:rFonts w:ascii="Century" w:hAnsi="Century"/>
                <w:sz w:val="16"/>
                <w:szCs w:val="16"/>
              </w:rPr>
            </w:pPr>
            <w:r w:rsidRPr="0099038E">
              <w:rPr>
                <w:rFonts w:ascii="Century" w:hAnsi="Century"/>
                <w:sz w:val="16"/>
                <w:szCs w:val="16"/>
              </w:rPr>
              <w:t>X</w:t>
            </w:r>
          </w:p>
        </w:tc>
        <w:tc>
          <w:tcPr>
            <w:tcW w:w="373" w:type="pct"/>
            <w:vAlign w:val="center"/>
          </w:tcPr>
          <w:p w:rsidR="00D00686" w:rsidRPr="0099038E" w:rsidRDefault="00451BDA" w:rsidP="00713588">
            <w:pPr>
              <w:spacing w:line="360" w:lineRule="auto"/>
              <w:jc w:val="center"/>
              <w:rPr>
                <w:rFonts w:ascii="Century" w:hAnsi="Century"/>
                <w:sz w:val="16"/>
                <w:szCs w:val="16"/>
              </w:rPr>
            </w:pPr>
            <w:r w:rsidRPr="0099038E">
              <w:rPr>
                <w:rFonts w:ascii="Century" w:hAnsi="Century"/>
                <w:sz w:val="16"/>
                <w:szCs w:val="16"/>
              </w:rPr>
              <w:t>X</w:t>
            </w:r>
          </w:p>
        </w:tc>
        <w:tc>
          <w:tcPr>
            <w:tcW w:w="373" w:type="pct"/>
            <w:vAlign w:val="center"/>
          </w:tcPr>
          <w:p w:rsidR="00D00686" w:rsidRPr="0099038E" w:rsidRDefault="00D00686" w:rsidP="00713588">
            <w:pPr>
              <w:spacing w:line="360" w:lineRule="auto"/>
              <w:jc w:val="center"/>
              <w:rPr>
                <w:rFonts w:ascii="Century" w:hAnsi="Century"/>
                <w:sz w:val="16"/>
                <w:szCs w:val="16"/>
              </w:rPr>
            </w:pPr>
          </w:p>
        </w:tc>
        <w:tc>
          <w:tcPr>
            <w:tcW w:w="524" w:type="pct"/>
            <w:vAlign w:val="center"/>
          </w:tcPr>
          <w:p w:rsidR="00D00686" w:rsidRPr="0099038E" w:rsidRDefault="00D00686" w:rsidP="00713588">
            <w:pPr>
              <w:spacing w:line="360" w:lineRule="auto"/>
              <w:jc w:val="center"/>
              <w:rPr>
                <w:rFonts w:ascii="Century" w:hAnsi="Century"/>
                <w:sz w:val="16"/>
                <w:szCs w:val="16"/>
              </w:rPr>
            </w:pPr>
          </w:p>
        </w:tc>
        <w:tc>
          <w:tcPr>
            <w:tcW w:w="373" w:type="pct"/>
            <w:vAlign w:val="center"/>
          </w:tcPr>
          <w:p w:rsidR="00D00686" w:rsidRPr="0099038E" w:rsidRDefault="00D00686" w:rsidP="00713588">
            <w:pPr>
              <w:spacing w:line="360" w:lineRule="auto"/>
              <w:jc w:val="center"/>
              <w:rPr>
                <w:rFonts w:ascii="Century" w:hAnsi="Century"/>
                <w:sz w:val="16"/>
                <w:szCs w:val="16"/>
              </w:rPr>
            </w:pPr>
          </w:p>
        </w:tc>
        <w:tc>
          <w:tcPr>
            <w:tcW w:w="225" w:type="pct"/>
            <w:vAlign w:val="center"/>
          </w:tcPr>
          <w:p w:rsidR="00D00686" w:rsidRPr="0099038E" w:rsidRDefault="00D00686" w:rsidP="00713588">
            <w:pPr>
              <w:spacing w:line="360" w:lineRule="auto"/>
              <w:jc w:val="center"/>
              <w:rPr>
                <w:rFonts w:ascii="Century" w:hAnsi="Century"/>
                <w:sz w:val="16"/>
                <w:szCs w:val="16"/>
              </w:rPr>
            </w:pPr>
          </w:p>
        </w:tc>
        <w:tc>
          <w:tcPr>
            <w:tcW w:w="223" w:type="pct"/>
            <w:tcBorders>
              <w:right w:val="single" w:sz="4" w:space="0" w:color="auto"/>
            </w:tcBorders>
            <w:vAlign w:val="center"/>
          </w:tcPr>
          <w:p w:rsidR="00D00686" w:rsidRPr="0099038E" w:rsidRDefault="00D00686" w:rsidP="00713588">
            <w:pPr>
              <w:spacing w:line="360" w:lineRule="auto"/>
              <w:jc w:val="center"/>
              <w:rPr>
                <w:rFonts w:ascii="Century" w:hAnsi="Century"/>
                <w:sz w:val="16"/>
                <w:szCs w:val="16"/>
              </w:rPr>
            </w:pPr>
          </w:p>
        </w:tc>
      </w:tr>
      <w:tr w:rsidR="00451BDA" w:rsidRPr="0099038E" w:rsidTr="00451BDA">
        <w:trPr>
          <w:jc w:val="center"/>
        </w:trPr>
        <w:tc>
          <w:tcPr>
            <w:tcW w:w="826" w:type="pct"/>
            <w:gridSpan w:val="2"/>
            <w:vAlign w:val="center"/>
          </w:tcPr>
          <w:p w:rsidR="00D00686" w:rsidRPr="0099038E" w:rsidRDefault="00823964" w:rsidP="00713588">
            <w:pPr>
              <w:spacing w:line="360" w:lineRule="auto"/>
              <w:jc w:val="center"/>
              <w:rPr>
                <w:rFonts w:ascii="Century" w:hAnsi="Century"/>
                <w:b/>
                <w:sz w:val="18"/>
                <w:szCs w:val="18"/>
              </w:rPr>
            </w:pPr>
            <w:r w:rsidRPr="0099038E">
              <w:rPr>
                <w:rFonts w:ascii="Century" w:hAnsi="Century"/>
                <w:b/>
                <w:sz w:val="18"/>
                <w:szCs w:val="18"/>
              </w:rPr>
              <w:t>Asturias</w:t>
            </w:r>
          </w:p>
        </w:tc>
        <w:tc>
          <w:tcPr>
            <w:tcW w:w="479" w:type="pct"/>
            <w:vAlign w:val="center"/>
          </w:tcPr>
          <w:p w:rsidR="00D00686" w:rsidRPr="0099038E" w:rsidRDefault="00D00686" w:rsidP="00713588">
            <w:pPr>
              <w:spacing w:line="360" w:lineRule="auto"/>
              <w:jc w:val="center"/>
              <w:rPr>
                <w:rFonts w:ascii="Century" w:hAnsi="Century"/>
                <w:sz w:val="16"/>
                <w:szCs w:val="16"/>
              </w:rPr>
            </w:pPr>
          </w:p>
        </w:tc>
        <w:tc>
          <w:tcPr>
            <w:tcW w:w="373" w:type="pct"/>
            <w:vAlign w:val="center"/>
          </w:tcPr>
          <w:p w:rsidR="00D00686" w:rsidRPr="0099038E" w:rsidRDefault="00D00686" w:rsidP="00713588">
            <w:pPr>
              <w:spacing w:line="360" w:lineRule="auto"/>
              <w:jc w:val="center"/>
              <w:rPr>
                <w:rFonts w:ascii="Century" w:hAnsi="Century"/>
                <w:sz w:val="16"/>
                <w:szCs w:val="16"/>
              </w:rPr>
            </w:pPr>
          </w:p>
        </w:tc>
        <w:tc>
          <w:tcPr>
            <w:tcW w:w="240" w:type="pct"/>
            <w:vAlign w:val="center"/>
          </w:tcPr>
          <w:p w:rsidR="00D00686" w:rsidRPr="0099038E" w:rsidRDefault="00451BDA" w:rsidP="00713588">
            <w:pPr>
              <w:spacing w:line="360" w:lineRule="auto"/>
              <w:jc w:val="center"/>
              <w:rPr>
                <w:rFonts w:ascii="Century" w:hAnsi="Century"/>
                <w:sz w:val="16"/>
                <w:szCs w:val="16"/>
              </w:rPr>
            </w:pPr>
            <w:r w:rsidRPr="0099038E">
              <w:rPr>
                <w:rFonts w:ascii="Century" w:hAnsi="Century"/>
                <w:sz w:val="16"/>
                <w:szCs w:val="16"/>
              </w:rPr>
              <w:t>X</w:t>
            </w:r>
          </w:p>
        </w:tc>
        <w:tc>
          <w:tcPr>
            <w:tcW w:w="374" w:type="pct"/>
            <w:vAlign w:val="center"/>
          </w:tcPr>
          <w:p w:rsidR="00D00686" w:rsidRPr="0099038E" w:rsidRDefault="00D00686" w:rsidP="00713588">
            <w:pPr>
              <w:spacing w:line="360" w:lineRule="auto"/>
              <w:jc w:val="center"/>
              <w:rPr>
                <w:rFonts w:ascii="Century" w:hAnsi="Century"/>
                <w:sz w:val="16"/>
                <w:szCs w:val="16"/>
              </w:rPr>
            </w:pPr>
          </w:p>
        </w:tc>
        <w:tc>
          <w:tcPr>
            <w:tcW w:w="618" w:type="pct"/>
            <w:vAlign w:val="center"/>
          </w:tcPr>
          <w:p w:rsidR="00D00686" w:rsidRPr="0099038E" w:rsidRDefault="00451BDA" w:rsidP="00713588">
            <w:pPr>
              <w:spacing w:line="360" w:lineRule="auto"/>
              <w:jc w:val="center"/>
              <w:rPr>
                <w:rFonts w:ascii="Century" w:hAnsi="Century"/>
                <w:sz w:val="16"/>
                <w:szCs w:val="16"/>
              </w:rPr>
            </w:pPr>
            <w:r w:rsidRPr="0099038E">
              <w:rPr>
                <w:rFonts w:ascii="Century" w:hAnsi="Century"/>
                <w:sz w:val="16"/>
                <w:szCs w:val="16"/>
              </w:rPr>
              <w:t>X</w:t>
            </w:r>
          </w:p>
        </w:tc>
        <w:tc>
          <w:tcPr>
            <w:tcW w:w="373" w:type="pct"/>
            <w:vAlign w:val="center"/>
          </w:tcPr>
          <w:p w:rsidR="00D00686" w:rsidRPr="0099038E" w:rsidRDefault="00D00686" w:rsidP="00713588">
            <w:pPr>
              <w:spacing w:line="360" w:lineRule="auto"/>
              <w:jc w:val="center"/>
              <w:rPr>
                <w:rFonts w:ascii="Century" w:hAnsi="Century"/>
                <w:sz w:val="16"/>
                <w:szCs w:val="16"/>
              </w:rPr>
            </w:pPr>
          </w:p>
        </w:tc>
        <w:tc>
          <w:tcPr>
            <w:tcW w:w="373" w:type="pct"/>
            <w:vAlign w:val="center"/>
          </w:tcPr>
          <w:p w:rsidR="00D00686" w:rsidRPr="0099038E" w:rsidRDefault="00D00686" w:rsidP="00713588">
            <w:pPr>
              <w:spacing w:line="360" w:lineRule="auto"/>
              <w:jc w:val="center"/>
              <w:rPr>
                <w:rFonts w:ascii="Century" w:hAnsi="Century"/>
                <w:sz w:val="16"/>
                <w:szCs w:val="16"/>
              </w:rPr>
            </w:pPr>
          </w:p>
        </w:tc>
        <w:tc>
          <w:tcPr>
            <w:tcW w:w="524" w:type="pct"/>
            <w:vAlign w:val="center"/>
          </w:tcPr>
          <w:p w:rsidR="00D00686" w:rsidRPr="0099038E" w:rsidRDefault="00D00686" w:rsidP="00713588">
            <w:pPr>
              <w:spacing w:line="360" w:lineRule="auto"/>
              <w:jc w:val="center"/>
              <w:rPr>
                <w:rFonts w:ascii="Century" w:hAnsi="Century"/>
                <w:sz w:val="16"/>
                <w:szCs w:val="16"/>
              </w:rPr>
            </w:pPr>
          </w:p>
        </w:tc>
        <w:tc>
          <w:tcPr>
            <w:tcW w:w="373" w:type="pct"/>
            <w:vAlign w:val="center"/>
          </w:tcPr>
          <w:p w:rsidR="00D00686" w:rsidRPr="0099038E" w:rsidRDefault="00D00686" w:rsidP="00713588">
            <w:pPr>
              <w:spacing w:line="360" w:lineRule="auto"/>
              <w:jc w:val="center"/>
              <w:rPr>
                <w:rFonts w:ascii="Century" w:hAnsi="Century"/>
                <w:sz w:val="16"/>
                <w:szCs w:val="16"/>
              </w:rPr>
            </w:pPr>
          </w:p>
        </w:tc>
        <w:tc>
          <w:tcPr>
            <w:tcW w:w="225" w:type="pct"/>
            <w:vAlign w:val="center"/>
          </w:tcPr>
          <w:p w:rsidR="00D00686" w:rsidRPr="0099038E" w:rsidRDefault="00D00686" w:rsidP="00713588">
            <w:pPr>
              <w:spacing w:line="360" w:lineRule="auto"/>
              <w:jc w:val="center"/>
              <w:rPr>
                <w:rFonts w:ascii="Century" w:hAnsi="Century"/>
                <w:sz w:val="16"/>
                <w:szCs w:val="16"/>
              </w:rPr>
            </w:pPr>
          </w:p>
        </w:tc>
        <w:tc>
          <w:tcPr>
            <w:tcW w:w="223" w:type="pct"/>
            <w:tcBorders>
              <w:right w:val="single" w:sz="4" w:space="0" w:color="auto"/>
            </w:tcBorders>
            <w:vAlign w:val="center"/>
          </w:tcPr>
          <w:p w:rsidR="00D00686" w:rsidRPr="0099038E" w:rsidRDefault="00D00686" w:rsidP="00713588">
            <w:pPr>
              <w:spacing w:line="360" w:lineRule="auto"/>
              <w:jc w:val="center"/>
              <w:rPr>
                <w:rFonts w:ascii="Century" w:hAnsi="Century"/>
                <w:sz w:val="16"/>
                <w:szCs w:val="16"/>
              </w:rPr>
            </w:pPr>
          </w:p>
        </w:tc>
      </w:tr>
      <w:tr w:rsidR="00451BDA" w:rsidRPr="0099038E" w:rsidTr="00451BDA">
        <w:trPr>
          <w:jc w:val="center"/>
        </w:trPr>
        <w:tc>
          <w:tcPr>
            <w:tcW w:w="826" w:type="pct"/>
            <w:gridSpan w:val="2"/>
            <w:vAlign w:val="center"/>
          </w:tcPr>
          <w:p w:rsidR="00D00686" w:rsidRPr="0099038E" w:rsidRDefault="00823964" w:rsidP="00713588">
            <w:pPr>
              <w:spacing w:line="360" w:lineRule="auto"/>
              <w:jc w:val="center"/>
              <w:rPr>
                <w:rFonts w:ascii="Century" w:hAnsi="Century"/>
                <w:b/>
                <w:sz w:val="18"/>
                <w:szCs w:val="18"/>
              </w:rPr>
            </w:pPr>
            <w:r w:rsidRPr="0099038E">
              <w:rPr>
                <w:rFonts w:ascii="Century" w:hAnsi="Century"/>
                <w:b/>
                <w:sz w:val="18"/>
                <w:szCs w:val="18"/>
              </w:rPr>
              <w:t>Baleares</w:t>
            </w:r>
          </w:p>
        </w:tc>
        <w:tc>
          <w:tcPr>
            <w:tcW w:w="479" w:type="pct"/>
            <w:vAlign w:val="center"/>
          </w:tcPr>
          <w:p w:rsidR="00D00686" w:rsidRPr="0099038E" w:rsidRDefault="00451BDA" w:rsidP="00713588">
            <w:pPr>
              <w:spacing w:line="360" w:lineRule="auto"/>
              <w:jc w:val="center"/>
              <w:rPr>
                <w:rFonts w:ascii="Century" w:hAnsi="Century"/>
                <w:sz w:val="16"/>
                <w:szCs w:val="16"/>
              </w:rPr>
            </w:pPr>
            <w:r w:rsidRPr="0099038E">
              <w:rPr>
                <w:rFonts w:ascii="Century" w:hAnsi="Century"/>
                <w:sz w:val="16"/>
                <w:szCs w:val="16"/>
              </w:rPr>
              <w:t>X</w:t>
            </w:r>
          </w:p>
        </w:tc>
        <w:tc>
          <w:tcPr>
            <w:tcW w:w="373" w:type="pct"/>
            <w:vAlign w:val="center"/>
          </w:tcPr>
          <w:p w:rsidR="00D00686" w:rsidRPr="0099038E" w:rsidRDefault="00451BDA" w:rsidP="00713588">
            <w:pPr>
              <w:spacing w:line="360" w:lineRule="auto"/>
              <w:jc w:val="center"/>
              <w:rPr>
                <w:rFonts w:ascii="Century" w:hAnsi="Century"/>
                <w:sz w:val="16"/>
                <w:szCs w:val="16"/>
              </w:rPr>
            </w:pPr>
            <w:r w:rsidRPr="0099038E">
              <w:rPr>
                <w:rFonts w:ascii="Century" w:hAnsi="Century"/>
                <w:sz w:val="16"/>
                <w:szCs w:val="16"/>
              </w:rPr>
              <w:t>X</w:t>
            </w:r>
          </w:p>
        </w:tc>
        <w:tc>
          <w:tcPr>
            <w:tcW w:w="240" w:type="pct"/>
            <w:vAlign w:val="center"/>
          </w:tcPr>
          <w:p w:rsidR="00D00686" w:rsidRPr="0099038E" w:rsidRDefault="00451BDA" w:rsidP="00713588">
            <w:pPr>
              <w:spacing w:line="360" w:lineRule="auto"/>
              <w:jc w:val="center"/>
              <w:rPr>
                <w:rFonts w:ascii="Century" w:hAnsi="Century"/>
                <w:sz w:val="16"/>
                <w:szCs w:val="16"/>
              </w:rPr>
            </w:pPr>
            <w:r w:rsidRPr="0099038E">
              <w:rPr>
                <w:rFonts w:ascii="Century" w:hAnsi="Century"/>
                <w:sz w:val="16"/>
                <w:szCs w:val="16"/>
              </w:rPr>
              <w:t>X</w:t>
            </w:r>
          </w:p>
        </w:tc>
        <w:tc>
          <w:tcPr>
            <w:tcW w:w="374" w:type="pct"/>
            <w:vAlign w:val="center"/>
          </w:tcPr>
          <w:p w:rsidR="00D00686" w:rsidRPr="0099038E" w:rsidRDefault="00451BDA" w:rsidP="00713588">
            <w:pPr>
              <w:spacing w:line="360" w:lineRule="auto"/>
              <w:jc w:val="center"/>
              <w:rPr>
                <w:rFonts w:ascii="Century" w:hAnsi="Century"/>
                <w:sz w:val="16"/>
                <w:szCs w:val="16"/>
              </w:rPr>
            </w:pPr>
            <w:r w:rsidRPr="0099038E">
              <w:rPr>
                <w:rFonts w:ascii="Century" w:hAnsi="Century"/>
                <w:sz w:val="16"/>
                <w:szCs w:val="16"/>
              </w:rPr>
              <w:t>X</w:t>
            </w:r>
          </w:p>
        </w:tc>
        <w:tc>
          <w:tcPr>
            <w:tcW w:w="618" w:type="pct"/>
            <w:vAlign w:val="center"/>
          </w:tcPr>
          <w:p w:rsidR="00D00686" w:rsidRPr="0099038E" w:rsidRDefault="00451BDA" w:rsidP="00713588">
            <w:pPr>
              <w:spacing w:line="360" w:lineRule="auto"/>
              <w:jc w:val="center"/>
              <w:rPr>
                <w:rFonts w:ascii="Century" w:hAnsi="Century"/>
                <w:sz w:val="16"/>
                <w:szCs w:val="16"/>
              </w:rPr>
            </w:pPr>
            <w:r w:rsidRPr="0099038E">
              <w:rPr>
                <w:rFonts w:ascii="Century" w:hAnsi="Century"/>
                <w:sz w:val="16"/>
                <w:szCs w:val="16"/>
              </w:rPr>
              <w:t>X</w:t>
            </w:r>
          </w:p>
        </w:tc>
        <w:tc>
          <w:tcPr>
            <w:tcW w:w="373" w:type="pct"/>
            <w:vAlign w:val="center"/>
          </w:tcPr>
          <w:p w:rsidR="00D00686" w:rsidRPr="0099038E" w:rsidRDefault="00451BDA" w:rsidP="00713588">
            <w:pPr>
              <w:spacing w:line="360" w:lineRule="auto"/>
              <w:jc w:val="center"/>
              <w:rPr>
                <w:rFonts w:ascii="Century" w:hAnsi="Century"/>
                <w:sz w:val="16"/>
                <w:szCs w:val="16"/>
              </w:rPr>
            </w:pPr>
            <w:r w:rsidRPr="0099038E">
              <w:rPr>
                <w:rFonts w:ascii="Century" w:hAnsi="Century"/>
                <w:sz w:val="16"/>
                <w:szCs w:val="16"/>
              </w:rPr>
              <w:t>X</w:t>
            </w:r>
          </w:p>
        </w:tc>
        <w:tc>
          <w:tcPr>
            <w:tcW w:w="373" w:type="pct"/>
            <w:vAlign w:val="center"/>
          </w:tcPr>
          <w:p w:rsidR="00D00686" w:rsidRPr="0099038E" w:rsidRDefault="00451BDA" w:rsidP="00713588">
            <w:pPr>
              <w:spacing w:line="360" w:lineRule="auto"/>
              <w:jc w:val="center"/>
              <w:rPr>
                <w:rFonts w:ascii="Century" w:hAnsi="Century"/>
                <w:sz w:val="16"/>
                <w:szCs w:val="16"/>
              </w:rPr>
            </w:pPr>
            <w:r w:rsidRPr="0099038E">
              <w:rPr>
                <w:rFonts w:ascii="Century" w:hAnsi="Century"/>
                <w:sz w:val="16"/>
                <w:szCs w:val="16"/>
              </w:rPr>
              <w:t>X</w:t>
            </w:r>
          </w:p>
        </w:tc>
        <w:tc>
          <w:tcPr>
            <w:tcW w:w="524" w:type="pct"/>
            <w:vAlign w:val="center"/>
          </w:tcPr>
          <w:p w:rsidR="00D00686" w:rsidRPr="0099038E" w:rsidRDefault="00451BDA" w:rsidP="00713588">
            <w:pPr>
              <w:spacing w:line="360" w:lineRule="auto"/>
              <w:jc w:val="center"/>
              <w:rPr>
                <w:rFonts w:ascii="Century" w:hAnsi="Century"/>
                <w:sz w:val="16"/>
                <w:szCs w:val="16"/>
              </w:rPr>
            </w:pPr>
            <w:r w:rsidRPr="0099038E">
              <w:rPr>
                <w:rFonts w:ascii="Century" w:hAnsi="Century"/>
                <w:sz w:val="16"/>
                <w:szCs w:val="16"/>
              </w:rPr>
              <w:t>X</w:t>
            </w:r>
          </w:p>
        </w:tc>
        <w:tc>
          <w:tcPr>
            <w:tcW w:w="373" w:type="pct"/>
            <w:vAlign w:val="center"/>
          </w:tcPr>
          <w:p w:rsidR="00D00686" w:rsidRPr="0099038E" w:rsidRDefault="00451BDA" w:rsidP="00713588">
            <w:pPr>
              <w:spacing w:line="360" w:lineRule="auto"/>
              <w:jc w:val="center"/>
              <w:rPr>
                <w:rFonts w:ascii="Century" w:hAnsi="Century"/>
                <w:sz w:val="16"/>
                <w:szCs w:val="16"/>
              </w:rPr>
            </w:pPr>
            <w:r w:rsidRPr="0099038E">
              <w:rPr>
                <w:rFonts w:ascii="Century" w:hAnsi="Century"/>
                <w:sz w:val="16"/>
                <w:szCs w:val="16"/>
              </w:rPr>
              <w:t>X</w:t>
            </w:r>
          </w:p>
        </w:tc>
        <w:tc>
          <w:tcPr>
            <w:tcW w:w="225" w:type="pct"/>
            <w:vAlign w:val="center"/>
          </w:tcPr>
          <w:p w:rsidR="00D00686" w:rsidRPr="0099038E" w:rsidRDefault="00D00686" w:rsidP="00713588">
            <w:pPr>
              <w:spacing w:line="360" w:lineRule="auto"/>
              <w:jc w:val="center"/>
              <w:rPr>
                <w:rFonts w:ascii="Century" w:hAnsi="Century"/>
                <w:sz w:val="16"/>
                <w:szCs w:val="16"/>
              </w:rPr>
            </w:pPr>
          </w:p>
        </w:tc>
        <w:tc>
          <w:tcPr>
            <w:tcW w:w="223" w:type="pct"/>
            <w:tcBorders>
              <w:right w:val="single" w:sz="4" w:space="0" w:color="auto"/>
            </w:tcBorders>
            <w:vAlign w:val="center"/>
          </w:tcPr>
          <w:p w:rsidR="00D00686" w:rsidRPr="0099038E" w:rsidRDefault="00D00686" w:rsidP="00713588">
            <w:pPr>
              <w:spacing w:line="360" w:lineRule="auto"/>
              <w:jc w:val="center"/>
              <w:rPr>
                <w:rFonts w:ascii="Century" w:hAnsi="Century"/>
                <w:sz w:val="16"/>
                <w:szCs w:val="16"/>
              </w:rPr>
            </w:pPr>
          </w:p>
        </w:tc>
      </w:tr>
      <w:tr w:rsidR="00451BDA" w:rsidRPr="0099038E" w:rsidTr="00451BDA">
        <w:trPr>
          <w:jc w:val="center"/>
        </w:trPr>
        <w:tc>
          <w:tcPr>
            <w:tcW w:w="826" w:type="pct"/>
            <w:gridSpan w:val="2"/>
            <w:vAlign w:val="center"/>
          </w:tcPr>
          <w:p w:rsidR="00D00686" w:rsidRPr="0099038E" w:rsidRDefault="00823964" w:rsidP="00713588">
            <w:pPr>
              <w:spacing w:line="360" w:lineRule="auto"/>
              <w:jc w:val="center"/>
              <w:rPr>
                <w:rFonts w:ascii="Century" w:hAnsi="Century"/>
                <w:b/>
                <w:sz w:val="18"/>
                <w:szCs w:val="18"/>
              </w:rPr>
            </w:pPr>
            <w:r w:rsidRPr="0099038E">
              <w:rPr>
                <w:rFonts w:ascii="Century" w:hAnsi="Century"/>
                <w:b/>
                <w:sz w:val="18"/>
                <w:szCs w:val="18"/>
              </w:rPr>
              <w:t>Canarias</w:t>
            </w:r>
          </w:p>
        </w:tc>
        <w:tc>
          <w:tcPr>
            <w:tcW w:w="479" w:type="pct"/>
            <w:vAlign w:val="center"/>
          </w:tcPr>
          <w:p w:rsidR="00D00686" w:rsidRPr="0099038E" w:rsidRDefault="00451BDA" w:rsidP="00713588">
            <w:pPr>
              <w:spacing w:line="360" w:lineRule="auto"/>
              <w:jc w:val="center"/>
              <w:rPr>
                <w:rFonts w:ascii="Century" w:hAnsi="Century"/>
                <w:sz w:val="16"/>
                <w:szCs w:val="16"/>
              </w:rPr>
            </w:pPr>
            <w:r w:rsidRPr="0099038E">
              <w:rPr>
                <w:rFonts w:ascii="Century" w:hAnsi="Century"/>
                <w:sz w:val="16"/>
                <w:szCs w:val="16"/>
              </w:rPr>
              <w:t>X</w:t>
            </w:r>
          </w:p>
        </w:tc>
        <w:tc>
          <w:tcPr>
            <w:tcW w:w="373" w:type="pct"/>
            <w:vAlign w:val="center"/>
          </w:tcPr>
          <w:p w:rsidR="00D00686" w:rsidRPr="0099038E" w:rsidRDefault="00451BDA" w:rsidP="00713588">
            <w:pPr>
              <w:spacing w:line="360" w:lineRule="auto"/>
              <w:jc w:val="center"/>
              <w:rPr>
                <w:rFonts w:ascii="Century" w:hAnsi="Century"/>
                <w:sz w:val="16"/>
                <w:szCs w:val="16"/>
              </w:rPr>
            </w:pPr>
            <w:r w:rsidRPr="0099038E">
              <w:rPr>
                <w:rFonts w:ascii="Century" w:hAnsi="Century"/>
                <w:sz w:val="16"/>
                <w:szCs w:val="16"/>
              </w:rPr>
              <w:t>X</w:t>
            </w:r>
          </w:p>
        </w:tc>
        <w:tc>
          <w:tcPr>
            <w:tcW w:w="240" w:type="pct"/>
            <w:vAlign w:val="center"/>
          </w:tcPr>
          <w:p w:rsidR="00D00686" w:rsidRPr="0099038E" w:rsidRDefault="00451BDA" w:rsidP="00713588">
            <w:pPr>
              <w:spacing w:line="360" w:lineRule="auto"/>
              <w:jc w:val="center"/>
              <w:rPr>
                <w:rFonts w:ascii="Century" w:hAnsi="Century"/>
                <w:sz w:val="16"/>
                <w:szCs w:val="16"/>
              </w:rPr>
            </w:pPr>
            <w:r w:rsidRPr="0099038E">
              <w:rPr>
                <w:rFonts w:ascii="Century" w:hAnsi="Century"/>
                <w:sz w:val="16"/>
                <w:szCs w:val="16"/>
              </w:rPr>
              <w:t>X</w:t>
            </w:r>
          </w:p>
        </w:tc>
        <w:tc>
          <w:tcPr>
            <w:tcW w:w="374" w:type="pct"/>
            <w:vAlign w:val="center"/>
          </w:tcPr>
          <w:p w:rsidR="00D00686" w:rsidRPr="0099038E" w:rsidRDefault="00451BDA" w:rsidP="00713588">
            <w:pPr>
              <w:spacing w:line="360" w:lineRule="auto"/>
              <w:jc w:val="center"/>
              <w:rPr>
                <w:rFonts w:ascii="Century" w:hAnsi="Century"/>
                <w:sz w:val="16"/>
                <w:szCs w:val="16"/>
              </w:rPr>
            </w:pPr>
            <w:r w:rsidRPr="0099038E">
              <w:rPr>
                <w:rFonts w:ascii="Century" w:hAnsi="Century"/>
                <w:sz w:val="16"/>
                <w:szCs w:val="16"/>
              </w:rPr>
              <w:t>X</w:t>
            </w:r>
          </w:p>
        </w:tc>
        <w:tc>
          <w:tcPr>
            <w:tcW w:w="618" w:type="pct"/>
            <w:vAlign w:val="center"/>
          </w:tcPr>
          <w:p w:rsidR="00D00686" w:rsidRPr="0099038E" w:rsidRDefault="00451BDA" w:rsidP="00713588">
            <w:pPr>
              <w:spacing w:line="360" w:lineRule="auto"/>
              <w:jc w:val="center"/>
              <w:rPr>
                <w:rFonts w:ascii="Century" w:hAnsi="Century"/>
                <w:sz w:val="16"/>
                <w:szCs w:val="16"/>
              </w:rPr>
            </w:pPr>
            <w:r w:rsidRPr="0099038E">
              <w:rPr>
                <w:rFonts w:ascii="Century" w:hAnsi="Century"/>
                <w:sz w:val="16"/>
                <w:szCs w:val="16"/>
              </w:rPr>
              <w:t>X</w:t>
            </w:r>
          </w:p>
        </w:tc>
        <w:tc>
          <w:tcPr>
            <w:tcW w:w="373" w:type="pct"/>
            <w:vAlign w:val="center"/>
          </w:tcPr>
          <w:p w:rsidR="00D00686" w:rsidRPr="0099038E" w:rsidRDefault="00D00686" w:rsidP="00713588">
            <w:pPr>
              <w:spacing w:line="360" w:lineRule="auto"/>
              <w:jc w:val="center"/>
              <w:rPr>
                <w:rFonts w:ascii="Century" w:hAnsi="Century"/>
                <w:sz w:val="16"/>
                <w:szCs w:val="16"/>
              </w:rPr>
            </w:pPr>
          </w:p>
        </w:tc>
        <w:tc>
          <w:tcPr>
            <w:tcW w:w="373" w:type="pct"/>
            <w:vAlign w:val="center"/>
          </w:tcPr>
          <w:p w:rsidR="00D00686" w:rsidRPr="0099038E" w:rsidRDefault="00D00686" w:rsidP="00713588">
            <w:pPr>
              <w:spacing w:line="360" w:lineRule="auto"/>
              <w:jc w:val="center"/>
              <w:rPr>
                <w:rFonts w:ascii="Century" w:hAnsi="Century"/>
                <w:sz w:val="16"/>
                <w:szCs w:val="16"/>
              </w:rPr>
            </w:pPr>
          </w:p>
        </w:tc>
        <w:tc>
          <w:tcPr>
            <w:tcW w:w="524" w:type="pct"/>
            <w:vAlign w:val="center"/>
          </w:tcPr>
          <w:p w:rsidR="00D00686" w:rsidRPr="0099038E" w:rsidRDefault="00451BDA" w:rsidP="00713588">
            <w:pPr>
              <w:spacing w:line="360" w:lineRule="auto"/>
              <w:jc w:val="center"/>
              <w:rPr>
                <w:rFonts w:ascii="Century" w:hAnsi="Century"/>
                <w:sz w:val="16"/>
                <w:szCs w:val="16"/>
              </w:rPr>
            </w:pPr>
            <w:r w:rsidRPr="0099038E">
              <w:rPr>
                <w:rFonts w:ascii="Century" w:hAnsi="Century"/>
                <w:sz w:val="16"/>
                <w:szCs w:val="16"/>
              </w:rPr>
              <w:t>X</w:t>
            </w:r>
          </w:p>
        </w:tc>
        <w:tc>
          <w:tcPr>
            <w:tcW w:w="373" w:type="pct"/>
            <w:vAlign w:val="center"/>
          </w:tcPr>
          <w:p w:rsidR="00D00686" w:rsidRPr="0099038E" w:rsidRDefault="00451BDA" w:rsidP="00713588">
            <w:pPr>
              <w:spacing w:line="360" w:lineRule="auto"/>
              <w:jc w:val="center"/>
              <w:rPr>
                <w:rFonts w:ascii="Century" w:hAnsi="Century"/>
                <w:sz w:val="16"/>
                <w:szCs w:val="16"/>
              </w:rPr>
            </w:pPr>
            <w:r w:rsidRPr="0099038E">
              <w:rPr>
                <w:rFonts w:ascii="Century" w:hAnsi="Century"/>
                <w:sz w:val="16"/>
                <w:szCs w:val="16"/>
              </w:rPr>
              <w:t>X</w:t>
            </w:r>
          </w:p>
        </w:tc>
        <w:tc>
          <w:tcPr>
            <w:tcW w:w="225" w:type="pct"/>
            <w:vAlign w:val="center"/>
          </w:tcPr>
          <w:p w:rsidR="00D00686" w:rsidRPr="0099038E" w:rsidRDefault="00D00686" w:rsidP="00713588">
            <w:pPr>
              <w:spacing w:line="360" w:lineRule="auto"/>
              <w:jc w:val="center"/>
              <w:rPr>
                <w:rFonts w:ascii="Century" w:hAnsi="Century"/>
                <w:sz w:val="16"/>
                <w:szCs w:val="16"/>
              </w:rPr>
            </w:pPr>
          </w:p>
        </w:tc>
        <w:tc>
          <w:tcPr>
            <w:tcW w:w="223" w:type="pct"/>
            <w:tcBorders>
              <w:right w:val="single" w:sz="4" w:space="0" w:color="auto"/>
            </w:tcBorders>
            <w:vAlign w:val="center"/>
          </w:tcPr>
          <w:p w:rsidR="00D00686" w:rsidRPr="0099038E" w:rsidRDefault="00D00686" w:rsidP="00713588">
            <w:pPr>
              <w:spacing w:line="360" w:lineRule="auto"/>
              <w:jc w:val="center"/>
              <w:rPr>
                <w:rFonts w:ascii="Century" w:hAnsi="Century"/>
                <w:sz w:val="16"/>
                <w:szCs w:val="16"/>
              </w:rPr>
            </w:pPr>
          </w:p>
        </w:tc>
      </w:tr>
      <w:tr w:rsidR="00451BDA" w:rsidRPr="0099038E" w:rsidTr="00451BDA">
        <w:trPr>
          <w:jc w:val="center"/>
        </w:trPr>
        <w:tc>
          <w:tcPr>
            <w:tcW w:w="826" w:type="pct"/>
            <w:gridSpan w:val="2"/>
            <w:vAlign w:val="center"/>
          </w:tcPr>
          <w:p w:rsidR="00D00686" w:rsidRPr="0099038E" w:rsidRDefault="00823964" w:rsidP="00713588">
            <w:pPr>
              <w:spacing w:line="360" w:lineRule="auto"/>
              <w:jc w:val="center"/>
              <w:rPr>
                <w:rFonts w:ascii="Century" w:hAnsi="Century"/>
                <w:b/>
                <w:sz w:val="18"/>
                <w:szCs w:val="18"/>
              </w:rPr>
            </w:pPr>
            <w:r w:rsidRPr="0099038E">
              <w:rPr>
                <w:rFonts w:ascii="Century" w:hAnsi="Century"/>
                <w:b/>
                <w:sz w:val="18"/>
                <w:szCs w:val="18"/>
              </w:rPr>
              <w:t>Cantabria</w:t>
            </w:r>
          </w:p>
        </w:tc>
        <w:tc>
          <w:tcPr>
            <w:tcW w:w="479" w:type="pct"/>
            <w:vAlign w:val="center"/>
          </w:tcPr>
          <w:p w:rsidR="00D00686" w:rsidRPr="0099038E" w:rsidRDefault="00451BDA" w:rsidP="00713588">
            <w:pPr>
              <w:spacing w:line="360" w:lineRule="auto"/>
              <w:jc w:val="center"/>
              <w:rPr>
                <w:rFonts w:ascii="Century" w:hAnsi="Century"/>
                <w:sz w:val="16"/>
                <w:szCs w:val="16"/>
              </w:rPr>
            </w:pPr>
            <w:r w:rsidRPr="0099038E">
              <w:rPr>
                <w:rFonts w:ascii="Century" w:hAnsi="Century"/>
                <w:sz w:val="16"/>
                <w:szCs w:val="16"/>
              </w:rPr>
              <w:t>X</w:t>
            </w:r>
          </w:p>
        </w:tc>
        <w:tc>
          <w:tcPr>
            <w:tcW w:w="373" w:type="pct"/>
            <w:vAlign w:val="center"/>
          </w:tcPr>
          <w:p w:rsidR="00D00686" w:rsidRPr="0099038E" w:rsidRDefault="00451BDA" w:rsidP="00713588">
            <w:pPr>
              <w:spacing w:line="360" w:lineRule="auto"/>
              <w:jc w:val="center"/>
              <w:rPr>
                <w:rFonts w:ascii="Century" w:hAnsi="Century"/>
                <w:sz w:val="16"/>
                <w:szCs w:val="16"/>
              </w:rPr>
            </w:pPr>
            <w:r w:rsidRPr="0099038E">
              <w:rPr>
                <w:rFonts w:ascii="Century" w:hAnsi="Century"/>
                <w:sz w:val="16"/>
                <w:szCs w:val="16"/>
              </w:rPr>
              <w:t>X</w:t>
            </w:r>
          </w:p>
        </w:tc>
        <w:tc>
          <w:tcPr>
            <w:tcW w:w="240" w:type="pct"/>
            <w:vAlign w:val="center"/>
          </w:tcPr>
          <w:p w:rsidR="00D00686" w:rsidRPr="0099038E" w:rsidRDefault="00451BDA" w:rsidP="00713588">
            <w:pPr>
              <w:spacing w:line="360" w:lineRule="auto"/>
              <w:jc w:val="center"/>
              <w:rPr>
                <w:rFonts w:ascii="Century" w:hAnsi="Century"/>
                <w:sz w:val="16"/>
                <w:szCs w:val="16"/>
              </w:rPr>
            </w:pPr>
            <w:r w:rsidRPr="0099038E">
              <w:rPr>
                <w:rFonts w:ascii="Century" w:hAnsi="Century"/>
                <w:sz w:val="16"/>
                <w:szCs w:val="16"/>
              </w:rPr>
              <w:t>X</w:t>
            </w:r>
          </w:p>
        </w:tc>
        <w:tc>
          <w:tcPr>
            <w:tcW w:w="374" w:type="pct"/>
            <w:vAlign w:val="center"/>
          </w:tcPr>
          <w:p w:rsidR="00D00686" w:rsidRPr="0099038E" w:rsidRDefault="00451BDA" w:rsidP="00713588">
            <w:pPr>
              <w:spacing w:line="360" w:lineRule="auto"/>
              <w:jc w:val="center"/>
              <w:rPr>
                <w:rFonts w:ascii="Century" w:hAnsi="Century"/>
                <w:sz w:val="16"/>
                <w:szCs w:val="16"/>
              </w:rPr>
            </w:pPr>
            <w:r w:rsidRPr="0099038E">
              <w:rPr>
                <w:rFonts w:ascii="Century" w:hAnsi="Century"/>
                <w:sz w:val="16"/>
                <w:szCs w:val="16"/>
              </w:rPr>
              <w:t>X</w:t>
            </w:r>
          </w:p>
        </w:tc>
        <w:tc>
          <w:tcPr>
            <w:tcW w:w="618" w:type="pct"/>
            <w:vAlign w:val="center"/>
          </w:tcPr>
          <w:p w:rsidR="00D00686" w:rsidRPr="0099038E" w:rsidRDefault="00451BDA" w:rsidP="00713588">
            <w:pPr>
              <w:spacing w:line="360" w:lineRule="auto"/>
              <w:jc w:val="center"/>
              <w:rPr>
                <w:rFonts w:ascii="Century" w:hAnsi="Century"/>
                <w:sz w:val="16"/>
                <w:szCs w:val="16"/>
              </w:rPr>
            </w:pPr>
            <w:r w:rsidRPr="0099038E">
              <w:rPr>
                <w:rFonts w:ascii="Century" w:hAnsi="Century"/>
                <w:sz w:val="16"/>
                <w:szCs w:val="16"/>
              </w:rPr>
              <w:t>X</w:t>
            </w:r>
          </w:p>
        </w:tc>
        <w:tc>
          <w:tcPr>
            <w:tcW w:w="373" w:type="pct"/>
            <w:vAlign w:val="center"/>
          </w:tcPr>
          <w:p w:rsidR="00D00686" w:rsidRPr="0099038E" w:rsidRDefault="00D00686" w:rsidP="00713588">
            <w:pPr>
              <w:spacing w:line="360" w:lineRule="auto"/>
              <w:jc w:val="center"/>
              <w:rPr>
                <w:rFonts w:ascii="Century" w:hAnsi="Century"/>
                <w:sz w:val="16"/>
                <w:szCs w:val="16"/>
              </w:rPr>
            </w:pPr>
          </w:p>
        </w:tc>
        <w:tc>
          <w:tcPr>
            <w:tcW w:w="373" w:type="pct"/>
            <w:vAlign w:val="center"/>
          </w:tcPr>
          <w:p w:rsidR="00D00686" w:rsidRPr="0099038E" w:rsidRDefault="00D00686" w:rsidP="00713588">
            <w:pPr>
              <w:spacing w:line="360" w:lineRule="auto"/>
              <w:jc w:val="center"/>
              <w:rPr>
                <w:rFonts w:ascii="Century" w:hAnsi="Century"/>
                <w:sz w:val="16"/>
                <w:szCs w:val="16"/>
              </w:rPr>
            </w:pPr>
          </w:p>
        </w:tc>
        <w:tc>
          <w:tcPr>
            <w:tcW w:w="524" w:type="pct"/>
            <w:vAlign w:val="center"/>
          </w:tcPr>
          <w:p w:rsidR="00D00686" w:rsidRPr="0099038E" w:rsidRDefault="00451BDA" w:rsidP="00713588">
            <w:pPr>
              <w:spacing w:line="360" w:lineRule="auto"/>
              <w:jc w:val="center"/>
              <w:rPr>
                <w:rFonts w:ascii="Century" w:hAnsi="Century"/>
                <w:sz w:val="16"/>
                <w:szCs w:val="16"/>
              </w:rPr>
            </w:pPr>
            <w:r w:rsidRPr="0099038E">
              <w:rPr>
                <w:rFonts w:ascii="Century" w:hAnsi="Century"/>
                <w:sz w:val="16"/>
                <w:szCs w:val="16"/>
              </w:rPr>
              <w:t>X</w:t>
            </w:r>
          </w:p>
        </w:tc>
        <w:tc>
          <w:tcPr>
            <w:tcW w:w="373" w:type="pct"/>
            <w:vAlign w:val="center"/>
          </w:tcPr>
          <w:p w:rsidR="00D00686" w:rsidRPr="0099038E" w:rsidRDefault="00451BDA" w:rsidP="00713588">
            <w:pPr>
              <w:spacing w:line="360" w:lineRule="auto"/>
              <w:jc w:val="center"/>
              <w:rPr>
                <w:rFonts w:ascii="Century" w:hAnsi="Century"/>
                <w:sz w:val="16"/>
                <w:szCs w:val="16"/>
              </w:rPr>
            </w:pPr>
            <w:r w:rsidRPr="0099038E">
              <w:rPr>
                <w:rFonts w:ascii="Century" w:hAnsi="Century"/>
                <w:sz w:val="16"/>
                <w:szCs w:val="16"/>
              </w:rPr>
              <w:t>X</w:t>
            </w:r>
          </w:p>
        </w:tc>
        <w:tc>
          <w:tcPr>
            <w:tcW w:w="225" w:type="pct"/>
            <w:vAlign w:val="center"/>
          </w:tcPr>
          <w:p w:rsidR="00D00686" w:rsidRPr="0099038E" w:rsidRDefault="00D00686" w:rsidP="00713588">
            <w:pPr>
              <w:spacing w:line="360" w:lineRule="auto"/>
              <w:jc w:val="center"/>
              <w:rPr>
                <w:rFonts w:ascii="Century" w:hAnsi="Century"/>
                <w:sz w:val="16"/>
                <w:szCs w:val="16"/>
              </w:rPr>
            </w:pPr>
          </w:p>
        </w:tc>
        <w:tc>
          <w:tcPr>
            <w:tcW w:w="223" w:type="pct"/>
            <w:tcBorders>
              <w:right w:val="single" w:sz="4" w:space="0" w:color="auto"/>
            </w:tcBorders>
            <w:vAlign w:val="center"/>
          </w:tcPr>
          <w:p w:rsidR="00D00686" w:rsidRPr="0099038E" w:rsidRDefault="00D00686" w:rsidP="00713588">
            <w:pPr>
              <w:spacing w:line="360" w:lineRule="auto"/>
              <w:jc w:val="center"/>
              <w:rPr>
                <w:rFonts w:ascii="Century" w:hAnsi="Century"/>
                <w:sz w:val="16"/>
                <w:szCs w:val="16"/>
              </w:rPr>
            </w:pPr>
          </w:p>
        </w:tc>
      </w:tr>
      <w:tr w:rsidR="00451BDA" w:rsidRPr="0099038E" w:rsidTr="00451BDA">
        <w:trPr>
          <w:jc w:val="center"/>
        </w:trPr>
        <w:tc>
          <w:tcPr>
            <w:tcW w:w="826" w:type="pct"/>
            <w:gridSpan w:val="2"/>
            <w:vAlign w:val="center"/>
          </w:tcPr>
          <w:p w:rsidR="00D00686" w:rsidRPr="006A5290" w:rsidRDefault="00A72579" w:rsidP="00713588">
            <w:pPr>
              <w:spacing w:line="360" w:lineRule="auto"/>
              <w:jc w:val="center"/>
              <w:rPr>
                <w:rFonts w:ascii="Century" w:hAnsi="Century"/>
                <w:b/>
                <w:sz w:val="18"/>
                <w:szCs w:val="18"/>
              </w:rPr>
            </w:pPr>
            <w:r w:rsidRPr="006A5290">
              <w:rPr>
                <w:rFonts w:ascii="Century" w:hAnsi="Century"/>
                <w:b/>
                <w:sz w:val="18"/>
                <w:szCs w:val="18"/>
              </w:rPr>
              <w:t>C. La</w:t>
            </w:r>
            <w:r w:rsidR="00823964" w:rsidRPr="006A5290">
              <w:rPr>
                <w:rFonts w:ascii="Century" w:hAnsi="Century"/>
                <w:b/>
                <w:sz w:val="18"/>
                <w:szCs w:val="18"/>
              </w:rPr>
              <w:t xml:space="preserve"> Mancha</w:t>
            </w:r>
          </w:p>
        </w:tc>
        <w:tc>
          <w:tcPr>
            <w:tcW w:w="479" w:type="pct"/>
            <w:vAlign w:val="center"/>
          </w:tcPr>
          <w:p w:rsidR="00D00686" w:rsidRPr="0099038E" w:rsidRDefault="00D00686" w:rsidP="00713588">
            <w:pPr>
              <w:spacing w:line="360" w:lineRule="auto"/>
              <w:jc w:val="center"/>
              <w:rPr>
                <w:rFonts w:ascii="Century" w:hAnsi="Century"/>
                <w:sz w:val="16"/>
                <w:szCs w:val="16"/>
              </w:rPr>
            </w:pPr>
          </w:p>
        </w:tc>
        <w:tc>
          <w:tcPr>
            <w:tcW w:w="373" w:type="pct"/>
            <w:vAlign w:val="center"/>
          </w:tcPr>
          <w:p w:rsidR="00D00686" w:rsidRPr="0099038E" w:rsidRDefault="00451BDA" w:rsidP="00713588">
            <w:pPr>
              <w:spacing w:line="360" w:lineRule="auto"/>
              <w:jc w:val="center"/>
              <w:rPr>
                <w:rFonts w:ascii="Century" w:hAnsi="Century"/>
                <w:sz w:val="16"/>
                <w:szCs w:val="16"/>
              </w:rPr>
            </w:pPr>
            <w:r w:rsidRPr="0099038E">
              <w:rPr>
                <w:rFonts w:ascii="Century" w:hAnsi="Century"/>
                <w:sz w:val="16"/>
                <w:szCs w:val="16"/>
              </w:rPr>
              <w:t>X</w:t>
            </w:r>
          </w:p>
        </w:tc>
        <w:tc>
          <w:tcPr>
            <w:tcW w:w="240" w:type="pct"/>
            <w:vAlign w:val="center"/>
          </w:tcPr>
          <w:p w:rsidR="00D00686" w:rsidRPr="0099038E" w:rsidRDefault="00D00686" w:rsidP="00713588">
            <w:pPr>
              <w:spacing w:line="360" w:lineRule="auto"/>
              <w:jc w:val="center"/>
              <w:rPr>
                <w:rFonts w:ascii="Century" w:hAnsi="Century"/>
                <w:sz w:val="16"/>
                <w:szCs w:val="16"/>
              </w:rPr>
            </w:pPr>
          </w:p>
        </w:tc>
        <w:tc>
          <w:tcPr>
            <w:tcW w:w="374" w:type="pct"/>
            <w:vAlign w:val="center"/>
          </w:tcPr>
          <w:p w:rsidR="00D00686" w:rsidRPr="0099038E" w:rsidRDefault="00D00686" w:rsidP="00713588">
            <w:pPr>
              <w:spacing w:line="360" w:lineRule="auto"/>
              <w:jc w:val="center"/>
              <w:rPr>
                <w:rFonts w:ascii="Century" w:hAnsi="Century"/>
                <w:sz w:val="16"/>
                <w:szCs w:val="16"/>
              </w:rPr>
            </w:pPr>
          </w:p>
        </w:tc>
        <w:tc>
          <w:tcPr>
            <w:tcW w:w="618" w:type="pct"/>
            <w:vAlign w:val="center"/>
          </w:tcPr>
          <w:p w:rsidR="00D00686" w:rsidRPr="0099038E" w:rsidRDefault="00451BDA" w:rsidP="00713588">
            <w:pPr>
              <w:spacing w:line="360" w:lineRule="auto"/>
              <w:jc w:val="center"/>
              <w:rPr>
                <w:rFonts w:ascii="Century" w:hAnsi="Century"/>
                <w:sz w:val="16"/>
                <w:szCs w:val="16"/>
              </w:rPr>
            </w:pPr>
            <w:r w:rsidRPr="0099038E">
              <w:rPr>
                <w:rFonts w:ascii="Century" w:hAnsi="Century"/>
                <w:sz w:val="16"/>
                <w:szCs w:val="16"/>
              </w:rPr>
              <w:t>X</w:t>
            </w:r>
          </w:p>
        </w:tc>
        <w:tc>
          <w:tcPr>
            <w:tcW w:w="373" w:type="pct"/>
            <w:vAlign w:val="center"/>
          </w:tcPr>
          <w:p w:rsidR="00D00686" w:rsidRPr="0099038E" w:rsidRDefault="00D00686" w:rsidP="00713588">
            <w:pPr>
              <w:spacing w:line="360" w:lineRule="auto"/>
              <w:jc w:val="center"/>
              <w:rPr>
                <w:rFonts w:ascii="Century" w:hAnsi="Century"/>
                <w:sz w:val="16"/>
                <w:szCs w:val="16"/>
              </w:rPr>
            </w:pPr>
          </w:p>
        </w:tc>
        <w:tc>
          <w:tcPr>
            <w:tcW w:w="373" w:type="pct"/>
            <w:vAlign w:val="center"/>
          </w:tcPr>
          <w:p w:rsidR="00D00686" w:rsidRPr="0099038E" w:rsidRDefault="00D00686" w:rsidP="00713588">
            <w:pPr>
              <w:spacing w:line="360" w:lineRule="auto"/>
              <w:jc w:val="center"/>
              <w:rPr>
                <w:rFonts w:ascii="Century" w:hAnsi="Century"/>
                <w:sz w:val="16"/>
                <w:szCs w:val="16"/>
              </w:rPr>
            </w:pPr>
          </w:p>
        </w:tc>
        <w:tc>
          <w:tcPr>
            <w:tcW w:w="524" w:type="pct"/>
            <w:vAlign w:val="center"/>
          </w:tcPr>
          <w:p w:rsidR="00D00686" w:rsidRPr="0099038E" w:rsidRDefault="00D00686" w:rsidP="00713588">
            <w:pPr>
              <w:spacing w:line="360" w:lineRule="auto"/>
              <w:jc w:val="center"/>
              <w:rPr>
                <w:rFonts w:ascii="Century" w:hAnsi="Century"/>
                <w:sz w:val="16"/>
                <w:szCs w:val="16"/>
              </w:rPr>
            </w:pPr>
          </w:p>
        </w:tc>
        <w:tc>
          <w:tcPr>
            <w:tcW w:w="373" w:type="pct"/>
            <w:vAlign w:val="center"/>
          </w:tcPr>
          <w:p w:rsidR="00D00686" w:rsidRPr="0099038E" w:rsidRDefault="00D00686" w:rsidP="00713588">
            <w:pPr>
              <w:spacing w:line="360" w:lineRule="auto"/>
              <w:jc w:val="center"/>
              <w:rPr>
                <w:rFonts w:ascii="Century" w:hAnsi="Century"/>
                <w:sz w:val="16"/>
                <w:szCs w:val="16"/>
              </w:rPr>
            </w:pPr>
          </w:p>
        </w:tc>
        <w:tc>
          <w:tcPr>
            <w:tcW w:w="225" w:type="pct"/>
            <w:vAlign w:val="center"/>
          </w:tcPr>
          <w:p w:rsidR="00D00686" w:rsidRPr="0099038E" w:rsidRDefault="00D00686" w:rsidP="00713588">
            <w:pPr>
              <w:spacing w:line="360" w:lineRule="auto"/>
              <w:jc w:val="center"/>
              <w:rPr>
                <w:rFonts w:ascii="Century" w:hAnsi="Century"/>
                <w:sz w:val="16"/>
                <w:szCs w:val="16"/>
              </w:rPr>
            </w:pPr>
          </w:p>
        </w:tc>
        <w:tc>
          <w:tcPr>
            <w:tcW w:w="223" w:type="pct"/>
            <w:tcBorders>
              <w:right w:val="single" w:sz="4" w:space="0" w:color="auto"/>
            </w:tcBorders>
            <w:vAlign w:val="center"/>
          </w:tcPr>
          <w:p w:rsidR="00D00686" w:rsidRPr="0099038E" w:rsidRDefault="00D00686" w:rsidP="00713588">
            <w:pPr>
              <w:spacing w:line="360" w:lineRule="auto"/>
              <w:jc w:val="center"/>
              <w:rPr>
                <w:rFonts w:ascii="Century" w:hAnsi="Century"/>
                <w:sz w:val="16"/>
                <w:szCs w:val="16"/>
              </w:rPr>
            </w:pPr>
          </w:p>
        </w:tc>
      </w:tr>
      <w:tr w:rsidR="00451BDA" w:rsidRPr="0099038E" w:rsidTr="00451BDA">
        <w:trPr>
          <w:jc w:val="center"/>
        </w:trPr>
        <w:tc>
          <w:tcPr>
            <w:tcW w:w="826" w:type="pct"/>
            <w:gridSpan w:val="2"/>
            <w:vAlign w:val="center"/>
          </w:tcPr>
          <w:p w:rsidR="00D00686" w:rsidRPr="006A5290" w:rsidRDefault="00A72579" w:rsidP="00713588">
            <w:pPr>
              <w:spacing w:line="360" w:lineRule="auto"/>
              <w:jc w:val="center"/>
              <w:rPr>
                <w:rFonts w:ascii="Century" w:hAnsi="Century"/>
                <w:b/>
                <w:sz w:val="18"/>
                <w:szCs w:val="18"/>
              </w:rPr>
            </w:pPr>
            <w:r w:rsidRPr="006A5290">
              <w:rPr>
                <w:rFonts w:ascii="Century" w:hAnsi="Century"/>
                <w:b/>
                <w:sz w:val="18"/>
                <w:szCs w:val="18"/>
              </w:rPr>
              <w:t>C.</w:t>
            </w:r>
            <w:r w:rsidR="00823964" w:rsidRPr="006A5290">
              <w:rPr>
                <w:rFonts w:ascii="Century" w:hAnsi="Century"/>
                <w:b/>
                <w:sz w:val="18"/>
                <w:szCs w:val="18"/>
              </w:rPr>
              <w:t xml:space="preserve"> León</w:t>
            </w:r>
          </w:p>
        </w:tc>
        <w:tc>
          <w:tcPr>
            <w:tcW w:w="479" w:type="pct"/>
            <w:vAlign w:val="center"/>
          </w:tcPr>
          <w:p w:rsidR="00D00686" w:rsidRPr="0099038E" w:rsidRDefault="00451BDA" w:rsidP="00713588">
            <w:pPr>
              <w:spacing w:line="360" w:lineRule="auto"/>
              <w:jc w:val="center"/>
              <w:rPr>
                <w:rFonts w:ascii="Century" w:hAnsi="Century"/>
                <w:sz w:val="16"/>
                <w:szCs w:val="16"/>
              </w:rPr>
            </w:pPr>
            <w:r w:rsidRPr="0099038E">
              <w:rPr>
                <w:rFonts w:ascii="Century" w:hAnsi="Century"/>
                <w:sz w:val="16"/>
                <w:szCs w:val="16"/>
              </w:rPr>
              <w:t>X</w:t>
            </w:r>
          </w:p>
        </w:tc>
        <w:tc>
          <w:tcPr>
            <w:tcW w:w="373" w:type="pct"/>
            <w:vAlign w:val="center"/>
          </w:tcPr>
          <w:p w:rsidR="00D00686" w:rsidRPr="0099038E" w:rsidRDefault="00451BDA" w:rsidP="00713588">
            <w:pPr>
              <w:spacing w:line="360" w:lineRule="auto"/>
              <w:jc w:val="center"/>
              <w:rPr>
                <w:rFonts w:ascii="Century" w:hAnsi="Century"/>
                <w:sz w:val="16"/>
                <w:szCs w:val="16"/>
              </w:rPr>
            </w:pPr>
            <w:r w:rsidRPr="0099038E">
              <w:rPr>
                <w:rFonts w:ascii="Century" w:hAnsi="Century"/>
                <w:sz w:val="16"/>
                <w:szCs w:val="16"/>
              </w:rPr>
              <w:t>X</w:t>
            </w:r>
          </w:p>
        </w:tc>
        <w:tc>
          <w:tcPr>
            <w:tcW w:w="240" w:type="pct"/>
            <w:vAlign w:val="center"/>
          </w:tcPr>
          <w:p w:rsidR="00D00686" w:rsidRPr="0099038E" w:rsidRDefault="00D00686" w:rsidP="00713588">
            <w:pPr>
              <w:spacing w:line="360" w:lineRule="auto"/>
              <w:jc w:val="center"/>
              <w:rPr>
                <w:rFonts w:ascii="Century" w:hAnsi="Century"/>
                <w:sz w:val="16"/>
                <w:szCs w:val="16"/>
              </w:rPr>
            </w:pPr>
          </w:p>
        </w:tc>
        <w:tc>
          <w:tcPr>
            <w:tcW w:w="374" w:type="pct"/>
            <w:vAlign w:val="center"/>
          </w:tcPr>
          <w:p w:rsidR="00D00686" w:rsidRPr="0099038E" w:rsidRDefault="00D00686" w:rsidP="00713588">
            <w:pPr>
              <w:spacing w:line="360" w:lineRule="auto"/>
              <w:jc w:val="center"/>
              <w:rPr>
                <w:rFonts w:ascii="Century" w:hAnsi="Century"/>
                <w:sz w:val="16"/>
                <w:szCs w:val="16"/>
              </w:rPr>
            </w:pPr>
          </w:p>
        </w:tc>
        <w:tc>
          <w:tcPr>
            <w:tcW w:w="618" w:type="pct"/>
            <w:vAlign w:val="center"/>
          </w:tcPr>
          <w:p w:rsidR="00D00686" w:rsidRPr="0099038E" w:rsidRDefault="00451BDA" w:rsidP="00713588">
            <w:pPr>
              <w:spacing w:line="360" w:lineRule="auto"/>
              <w:jc w:val="center"/>
              <w:rPr>
                <w:rFonts w:ascii="Century" w:hAnsi="Century"/>
                <w:sz w:val="16"/>
                <w:szCs w:val="16"/>
              </w:rPr>
            </w:pPr>
            <w:r w:rsidRPr="0099038E">
              <w:rPr>
                <w:rFonts w:ascii="Century" w:hAnsi="Century"/>
                <w:sz w:val="16"/>
                <w:szCs w:val="16"/>
              </w:rPr>
              <w:t>X</w:t>
            </w:r>
          </w:p>
        </w:tc>
        <w:tc>
          <w:tcPr>
            <w:tcW w:w="373" w:type="pct"/>
            <w:vAlign w:val="center"/>
          </w:tcPr>
          <w:p w:rsidR="00D00686" w:rsidRPr="0099038E" w:rsidRDefault="00D00686" w:rsidP="00713588">
            <w:pPr>
              <w:spacing w:line="360" w:lineRule="auto"/>
              <w:jc w:val="center"/>
              <w:rPr>
                <w:rFonts w:ascii="Century" w:hAnsi="Century"/>
                <w:sz w:val="16"/>
                <w:szCs w:val="16"/>
              </w:rPr>
            </w:pPr>
          </w:p>
        </w:tc>
        <w:tc>
          <w:tcPr>
            <w:tcW w:w="373" w:type="pct"/>
            <w:vAlign w:val="center"/>
          </w:tcPr>
          <w:p w:rsidR="00D00686" w:rsidRPr="0099038E" w:rsidRDefault="00451BDA" w:rsidP="00713588">
            <w:pPr>
              <w:spacing w:line="360" w:lineRule="auto"/>
              <w:jc w:val="center"/>
              <w:rPr>
                <w:rFonts w:ascii="Century" w:hAnsi="Century"/>
                <w:sz w:val="16"/>
                <w:szCs w:val="16"/>
              </w:rPr>
            </w:pPr>
            <w:r w:rsidRPr="0099038E">
              <w:rPr>
                <w:rFonts w:ascii="Century" w:hAnsi="Century"/>
                <w:sz w:val="16"/>
                <w:szCs w:val="16"/>
              </w:rPr>
              <w:t>X</w:t>
            </w:r>
          </w:p>
        </w:tc>
        <w:tc>
          <w:tcPr>
            <w:tcW w:w="524" w:type="pct"/>
            <w:vAlign w:val="center"/>
          </w:tcPr>
          <w:p w:rsidR="00D00686" w:rsidRPr="0099038E" w:rsidRDefault="00451BDA" w:rsidP="00713588">
            <w:pPr>
              <w:spacing w:line="360" w:lineRule="auto"/>
              <w:jc w:val="center"/>
              <w:rPr>
                <w:rFonts w:ascii="Century" w:hAnsi="Century"/>
                <w:sz w:val="16"/>
                <w:szCs w:val="16"/>
              </w:rPr>
            </w:pPr>
            <w:r w:rsidRPr="0099038E">
              <w:rPr>
                <w:rFonts w:ascii="Century" w:hAnsi="Century"/>
                <w:sz w:val="16"/>
                <w:szCs w:val="16"/>
              </w:rPr>
              <w:t>X</w:t>
            </w:r>
          </w:p>
        </w:tc>
        <w:tc>
          <w:tcPr>
            <w:tcW w:w="373" w:type="pct"/>
            <w:vAlign w:val="center"/>
          </w:tcPr>
          <w:p w:rsidR="00D00686" w:rsidRPr="0099038E" w:rsidRDefault="00D00686" w:rsidP="00713588">
            <w:pPr>
              <w:spacing w:line="360" w:lineRule="auto"/>
              <w:jc w:val="center"/>
              <w:rPr>
                <w:rFonts w:ascii="Century" w:hAnsi="Century"/>
                <w:sz w:val="16"/>
                <w:szCs w:val="16"/>
              </w:rPr>
            </w:pPr>
          </w:p>
        </w:tc>
        <w:tc>
          <w:tcPr>
            <w:tcW w:w="225" w:type="pct"/>
            <w:vAlign w:val="center"/>
          </w:tcPr>
          <w:p w:rsidR="00D00686" w:rsidRPr="0099038E" w:rsidRDefault="00D00686" w:rsidP="00713588">
            <w:pPr>
              <w:spacing w:line="360" w:lineRule="auto"/>
              <w:jc w:val="center"/>
              <w:rPr>
                <w:rFonts w:ascii="Century" w:hAnsi="Century"/>
                <w:sz w:val="16"/>
                <w:szCs w:val="16"/>
              </w:rPr>
            </w:pPr>
          </w:p>
        </w:tc>
        <w:tc>
          <w:tcPr>
            <w:tcW w:w="223" w:type="pct"/>
            <w:tcBorders>
              <w:right w:val="single" w:sz="4" w:space="0" w:color="auto"/>
            </w:tcBorders>
            <w:vAlign w:val="center"/>
          </w:tcPr>
          <w:p w:rsidR="00D00686" w:rsidRPr="0099038E" w:rsidRDefault="00451BDA" w:rsidP="00713588">
            <w:pPr>
              <w:spacing w:line="360" w:lineRule="auto"/>
              <w:jc w:val="center"/>
              <w:rPr>
                <w:rFonts w:ascii="Century" w:hAnsi="Century"/>
                <w:sz w:val="16"/>
                <w:szCs w:val="16"/>
              </w:rPr>
            </w:pPr>
            <w:r w:rsidRPr="0099038E">
              <w:rPr>
                <w:rFonts w:ascii="Century" w:hAnsi="Century"/>
                <w:sz w:val="16"/>
                <w:szCs w:val="16"/>
              </w:rPr>
              <w:t>X</w:t>
            </w:r>
          </w:p>
        </w:tc>
      </w:tr>
      <w:tr w:rsidR="00451BDA" w:rsidRPr="0099038E" w:rsidTr="00451BDA">
        <w:trPr>
          <w:jc w:val="center"/>
        </w:trPr>
        <w:tc>
          <w:tcPr>
            <w:tcW w:w="826" w:type="pct"/>
            <w:gridSpan w:val="2"/>
            <w:vAlign w:val="center"/>
          </w:tcPr>
          <w:p w:rsidR="00D00686" w:rsidRPr="0099038E" w:rsidRDefault="00823964" w:rsidP="00713588">
            <w:pPr>
              <w:spacing w:line="360" w:lineRule="auto"/>
              <w:jc w:val="center"/>
              <w:rPr>
                <w:rFonts w:ascii="Century" w:hAnsi="Century"/>
                <w:b/>
                <w:sz w:val="18"/>
                <w:szCs w:val="18"/>
              </w:rPr>
            </w:pPr>
            <w:r w:rsidRPr="0099038E">
              <w:rPr>
                <w:rFonts w:ascii="Century" w:hAnsi="Century"/>
                <w:b/>
                <w:sz w:val="18"/>
                <w:szCs w:val="18"/>
              </w:rPr>
              <w:t>Cataluña</w:t>
            </w:r>
          </w:p>
        </w:tc>
        <w:tc>
          <w:tcPr>
            <w:tcW w:w="479" w:type="pct"/>
            <w:vAlign w:val="center"/>
          </w:tcPr>
          <w:p w:rsidR="00D00686" w:rsidRPr="0099038E" w:rsidRDefault="00451BDA" w:rsidP="00713588">
            <w:pPr>
              <w:spacing w:line="360" w:lineRule="auto"/>
              <w:jc w:val="center"/>
              <w:rPr>
                <w:rFonts w:ascii="Century" w:hAnsi="Century"/>
                <w:sz w:val="16"/>
                <w:szCs w:val="16"/>
              </w:rPr>
            </w:pPr>
            <w:r w:rsidRPr="0099038E">
              <w:rPr>
                <w:rFonts w:ascii="Century" w:hAnsi="Century"/>
                <w:sz w:val="16"/>
                <w:szCs w:val="16"/>
              </w:rPr>
              <w:t>X</w:t>
            </w:r>
          </w:p>
        </w:tc>
        <w:tc>
          <w:tcPr>
            <w:tcW w:w="373" w:type="pct"/>
            <w:vAlign w:val="center"/>
          </w:tcPr>
          <w:p w:rsidR="00D00686" w:rsidRPr="0099038E" w:rsidRDefault="00451BDA" w:rsidP="00713588">
            <w:pPr>
              <w:spacing w:line="360" w:lineRule="auto"/>
              <w:jc w:val="center"/>
              <w:rPr>
                <w:rFonts w:ascii="Century" w:hAnsi="Century"/>
                <w:sz w:val="16"/>
                <w:szCs w:val="16"/>
              </w:rPr>
            </w:pPr>
            <w:r w:rsidRPr="0099038E">
              <w:rPr>
                <w:rFonts w:ascii="Century" w:hAnsi="Century"/>
                <w:sz w:val="16"/>
                <w:szCs w:val="16"/>
              </w:rPr>
              <w:t>X</w:t>
            </w:r>
          </w:p>
        </w:tc>
        <w:tc>
          <w:tcPr>
            <w:tcW w:w="240" w:type="pct"/>
            <w:vAlign w:val="center"/>
          </w:tcPr>
          <w:p w:rsidR="00D00686" w:rsidRPr="0099038E" w:rsidRDefault="00451BDA" w:rsidP="00713588">
            <w:pPr>
              <w:spacing w:line="360" w:lineRule="auto"/>
              <w:jc w:val="center"/>
              <w:rPr>
                <w:rFonts w:ascii="Century" w:hAnsi="Century"/>
                <w:sz w:val="16"/>
                <w:szCs w:val="16"/>
              </w:rPr>
            </w:pPr>
            <w:r w:rsidRPr="0099038E">
              <w:rPr>
                <w:rFonts w:ascii="Century" w:hAnsi="Century"/>
                <w:sz w:val="16"/>
                <w:szCs w:val="16"/>
              </w:rPr>
              <w:t>X</w:t>
            </w:r>
          </w:p>
        </w:tc>
        <w:tc>
          <w:tcPr>
            <w:tcW w:w="374" w:type="pct"/>
            <w:vAlign w:val="center"/>
          </w:tcPr>
          <w:p w:rsidR="00D00686" w:rsidRPr="0099038E" w:rsidRDefault="00451BDA" w:rsidP="00713588">
            <w:pPr>
              <w:spacing w:line="360" w:lineRule="auto"/>
              <w:jc w:val="center"/>
              <w:rPr>
                <w:rFonts w:ascii="Century" w:hAnsi="Century"/>
                <w:sz w:val="16"/>
                <w:szCs w:val="16"/>
              </w:rPr>
            </w:pPr>
            <w:r w:rsidRPr="0099038E">
              <w:rPr>
                <w:rFonts w:ascii="Century" w:hAnsi="Century"/>
                <w:sz w:val="16"/>
                <w:szCs w:val="16"/>
              </w:rPr>
              <w:t>X</w:t>
            </w:r>
          </w:p>
        </w:tc>
        <w:tc>
          <w:tcPr>
            <w:tcW w:w="618" w:type="pct"/>
            <w:vAlign w:val="center"/>
          </w:tcPr>
          <w:p w:rsidR="00D00686" w:rsidRPr="0099038E" w:rsidRDefault="00451BDA" w:rsidP="00713588">
            <w:pPr>
              <w:spacing w:line="360" w:lineRule="auto"/>
              <w:jc w:val="center"/>
              <w:rPr>
                <w:rFonts w:ascii="Century" w:hAnsi="Century"/>
                <w:sz w:val="16"/>
                <w:szCs w:val="16"/>
              </w:rPr>
            </w:pPr>
            <w:r w:rsidRPr="0099038E">
              <w:rPr>
                <w:rFonts w:ascii="Century" w:hAnsi="Century"/>
                <w:sz w:val="16"/>
                <w:szCs w:val="16"/>
              </w:rPr>
              <w:t>X</w:t>
            </w:r>
          </w:p>
        </w:tc>
        <w:tc>
          <w:tcPr>
            <w:tcW w:w="373" w:type="pct"/>
            <w:vAlign w:val="center"/>
          </w:tcPr>
          <w:p w:rsidR="00D00686" w:rsidRPr="0099038E" w:rsidRDefault="00D00686" w:rsidP="00713588">
            <w:pPr>
              <w:spacing w:line="360" w:lineRule="auto"/>
              <w:jc w:val="center"/>
              <w:rPr>
                <w:rFonts w:ascii="Century" w:hAnsi="Century"/>
                <w:sz w:val="16"/>
                <w:szCs w:val="16"/>
              </w:rPr>
            </w:pPr>
          </w:p>
        </w:tc>
        <w:tc>
          <w:tcPr>
            <w:tcW w:w="373" w:type="pct"/>
            <w:vAlign w:val="center"/>
          </w:tcPr>
          <w:p w:rsidR="00D00686" w:rsidRPr="0099038E" w:rsidRDefault="00451BDA" w:rsidP="00713588">
            <w:pPr>
              <w:spacing w:line="360" w:lineRule="auto"/>
              <w:jc w:val="center"/>
              <w:rPr>
                <w:rFonts w:ascii="Century" w:hAnsi="Century"/>
                <w:sz w:val="16"/>
                <w:szCs w:val="16"/>
              </w:rPr>
            </w:pPr>
            <w:r w:rsidRPr="0099038E">
              <w:rPr>
                <w:rFonts w:ascii="Century" w:hAnsi="Century"/>
                <w:sz w:val="16"/>
                <w:szCs w:val="16"/>
              </w:rPr>
              <w:t>X</w:t>
            </w:r>
          </w:p>
        </w:tc>
        <w:tc>
          <w:tcPr>
            <w:tcW w:w="524" w:type="pct"/>
            <w:vAlign w:val="center"/>
          </w:tcPr>
          <w:p w:rsidR="00D00686" w:rsidRPr="0099038E" w:rsidRDefault="00451BDA" w:rsidP="00713588">
            <w:pPr>
              <w:spacing w:line="360" w:lineRule="auto"/>
              <w:jc w:val="center"/>
              <w:rPr>
                <w:rFonts w:ascii="Century" w:hAnsi="Century"/>
                <w:sz w:val="16"/>
                <w:szCs w:val="16"/>
              </w:rPr>
            </w:pPr>
            <w:r w:rsidRPr="0099038E">
              <w:rPr>
                <w:rFonts w:ascii="Century" w:hAnsi="Century"/>
                <w:sz w:val="16"/>
                <w:szCs w:val="16"/>
              </w:rPr>
              <w:t>X</w:t>
            </w:r>
          </w:p>
        </w:tc>
        <w:tc>
          <w:tcPr>
            <w:tcW w:w="373" w:type="pct"/>
            <w:vAlign w:val="center"/>
          </w:tcPr>
          <w:p w:rsidR="00D00686" w:rsidRPr="0099038E" w:rsidRDefault="00451BDA" w:rsidP="00713588">
            <w:pPr>
              <w:spacing w:line="360" w:lineRule="auto"/>
              <w:jc w:val="center"/>
              <w:rPr>
                <w:rFonts w:ascii="Century" w:hAnsi="Century"/>
                <w:sz w:val="16"/>
                <w:szCs w:val="16"/>
              </w:rPr>
            </w:pPr>
            <w:r w:rsidRPr="0099038E">
              <w:rPr>
                <w:rFonts w:ascii="Century" w:hAnsi="Century"/>
                <w:sz w:val="16"/>
                <w:szCs w:val="16"/>
              </w:rPr>
              <w:t>X</w:t>
            </w:r>
          </w:p>
        </w:tc>
        <w:tc>
          <w:tcPr>
            <w:tcW w:w="225" w:type="pct"/>
            <w:vAlign w:val="center"/>
          </w:tcPr>
          <w:p w:rsidR="00D00686" w:rsidRPr="0099038E" w:rsidRDefault="00D00686" w:rsidP="00713588">
            <w:pPr>
              <w:spacing w:line="360" w:lineRule="auto"/>
              <w:jc w:val="center"/>
              <w:rPr>
                <w:rFonts w:ascii="Century" w:hAnsi="Century"/>
                <w:sz w:val="16"/>
                <w:szCs w:val="16"/>
              </w:rPr>
            </w:pPr>
          </w:p>
        </w:tc>
        <w:tc>
          <w:tcPr>
            <w:tcW w:w="223" w:type="pct"/>
            <w:tcBorders>
              <w:right w:val="single" w:sz="4" w:space="0" w:color="auto"/>
            </w:tcBorders>
            <w:vAlign w:val="center"/>
          </w:tcPr>
          <w:p w:rsidR="00D00686" w:rsidRPr="0099038E" w:rsidRDefault="00D00686" w:rsidP="00713588">
            <w:pPr>
              <w:spacing w:line="360" w:lineRule="auto"/>
              <w:jc w:val="center"/>
              <w:rPr>
                <w:rFonts w:ascii="Century" w:hAnsi="Century"/>
                <w:sz w:val="16"/>
                <w:szCs w:val="16"/>
              </w:rPr>
            </w:pPr>
          </w:p>
        </w:tc>
      </w:tr>
      <w:tr w:rsidR="00451BDA" w:rsidRPr="0099038E" w:rsidTr="00451BDA">
        <w:trPr>
          <w:jc w:val="center"/>
        </w:trPr>
        <w:tc>
          <w:tcPr>
            <w:tcW w:w="826" w:type="pct"/>
            <w:gridSpan w:val="2"/>
            <w:vAlign w:val="center"/>
          </w:tcPr>
          <w:p w:rsidR="00D00686" w:rsidRPr="0099038E" w:rsidRDefault="00823964" w:rsidP="00713588">
            <w:pPr>
              <w:spacing w:line="360" w:lineRule="auto"/>
              <w:jc w:val="center"/>
              <w:rPr>
                <w:rFonts w:ascii="Century" w:hAnsi="Century"/>
                <w:b/>
                <w:sz w:val="18"/>
                <w:szCs w:val="18"/>
              </w:rPr>
            </w:pPr>
            <w:r w:rsidRPr="0099038E">
              <w:rPr>
                <w:rFonts w:ascii="Century" w:hAnsi="Century"/>
                <w:b/>
                <w:sz w:val="18"/>
                <w:szCs w:val="18"/>
              </w:rPr>
              <w:t>Extremadura</w:t>
            </w:r>
          </w:p>
        </w:tc>
        <w:tc>
          <w:tcPr>
            <w:tcW w:w="479" w:type="pct"/>
            <w:vAlign w:val="center"/>
          </w:tcPr>
          <w:p w:rsidR="00D00686" w:rsidRPr="0099038E" w:rsidRDefault="00451BDA" w:rsidP="00713588">
            <w:pPr>
              <w:spacing w:line="360" w:lineRule="auto"/>
              <w:jc w:val="center"/>
              <w:rPr>
                <w:rFonts w:ascii="Century" w:hAnsi="Century"/>
                <w:sz w:val="16"/>
                <w:szCs w:val="16"/>
              </w:rPr>
            </w:pPr>
            <w:r w:rsidRPr="0099038E">
              <w:rPr>
                <w:rFonts w:ascii="Century" w:hAnsi="Century"/>
                <w:sz w:val="16"/>
                <w:szCs w:val="16"/>
              </w:rPr>
              <w:t>X</w:t>
            </w:r>
          </w:p>
        </w:tc>
        <w:tc>
          <w:tcPr>
            <w:tcW w:w="373" w:type="pct"/>
            <w:vAlign w:val="center"/>
          </w:tcPr>
          <w:p w:rsidR="00D00686" w:rsidRPr="0099038E" w:rsidRDefault="00451BDA" w:rsidP="00713588">
            <w:pPr>
              <w:spacing w:line="360" w:lineRule="auto"/>
              <w:jc w:val="center"/>
              <w:rPr>
                <w:rFonts w:ascii="Century" w:hAnsi="Century"/>
                <w:sz w:val="16"/>
                <w:szCs w:val="16"/>
              </w:rPr>
            </w:pPr>
            <w:r w:rsidRPr="0099038E">
              <w:rPr>
                <w:rFonts w:ascii="Century" w:hAnsi="Century"/>
                <w:sz w:val="16"/>
                <w:szCs w:val="16"/>
              </w:rPr>
              <w:t>X</w:t>
            </w:r>
          </w:p>
        </w:tc>
        <w:tc>
          <w:tcPr>
            <w:tcW w:w="240" w:type="pct"/>
            <w:vAlign w:val="center"/>
          </w:tcPr>
          <w:p w:rsidR="00D00686" w:rsidRPr="0099038E" w:rsidRDefault="00451BDA" w:rsidP="00713588">
            <w:pPr>
              <w:spacing w:line="360" w:lineRule="auto"/>
              <w:jc w:val="center"/>
              <w:rPr>
                <w:rFonts w:ascii="Century" w:hAnsi="Century"/>
                <w:sz w:val="16"/>
                <w:szCs w:val="16"/>
              </w:rPr>
            </w:pPr>
            <w:r w:rsidRPr="0099038E">
              <w:rPr>
                <w:rFonts w:ascii="Century" w:hAnsi="Century"/>
                <w:sz w:val="16"/>
                <w:szCs w:val="16"/>
              </w:rPr>
              <w:t>X</w:t>
            </w:r>
          </w:p>
        </w:tc>
        <w:tc>
          <w:tcPr>
            <w:tcW w:w="374" w:type="pct"/>
            <w:vAlign w:val="center"/>
          </w:tcPr>
          <w:p w:rsidR="00D00686" w:rsidRPr="0099038E" w:rsidRDefault="00D00686" w:rsidP="00713588">
            <w:pPr>
              <w:spacing w:line="360" w:lineRule="auto"/>
              <w:jc w:val="center"/>
              <w:rPr>
                <w:rFonts w:ascii="Century" w:hAnsi="Century"/>
                <w:sz w:val="16"/>
                <w:szCs w:val="16"/>
              </w:rPr>
            </w:pPr>
          </w:p>
        </w:tc>
        <w:tc>
          <w:tcPr>
            <w:tcW w:w="618" w:type="pct"/>
            <w:vAlign w:val="center"/>
          </w:tcPr>
          <w:p w:rsidR="00D00686" w:rsidRPr="0099038E" w:rsidRDefault="00451BDA" w:rsidP="00713588">
            <w:pPr>
              <w:spacing w:line="360" w:lineRule="auto"/>
              <w:jc w:val="center"/>
              <w:rPr>
                <w:rFonts w:ascii="Century" w:hAnsi="Century"/>
                <w:sz w:val="16"/>
                <w:szCs w:val="16"/>
              </w:rPr>
            </w:pPr>
            <w:r w:rsidRPr="0099038E">
              <w:rPr>
                <w:rFonts w:ascii="Century" w:hAnsi="Century"/>
                <w:sz w:val="16"/>
                <w:szCs w:val="16"/>
              </w:rPr>
              <w:t>X</w:t>
            </w:r>
          </w:p>
        </w:tc>
        <w:tc>
          <w:tcPr>
            <w:tcW w:w="373" w:type="pct"/>
            <w:vAlign w:val="center"/>
          </w:tcPr>
          <w:p w:rsidR="00D00686" w:rsidRPr="0099038E" w:rsidRDefault="00D00686" w:rsidP="00713588">
            <w:pPr>
              <w:spacing w:line="360" w:lineRule="auto"/>
              <w:jc w:val="center"/>
              <w:rPr>
                <w:rFonts w:ascii="Century" w:hAnsi="Century"/>
                <w:sz w:val="16"/>
                <w:szCs w:val="16"/>
              </w:rPr>
            </w:pPr>
          </w:p>
        </w:tc>
        <w:tc>
          <w:tcPr>
            <w:tcW w:w="373" w:type="pct"/>
            <w:vAlign w:val="center"/>
          </w:tcPr>
          <w:p w:rsidR="00D00686" w:rsidRPr="0099038E" w:rsidRDefault="00451BDA" w:rsidP="00713588">
            <w:pPr>
              <w:spacing w:line="360" w:lineRule="auto"/>
              <w:jc w:val="center"/>
              <w:rPr>
                <w:rFonts w:ascii="Century" w:hAnsi="Century"/>
                <w:sz w:val="16"/>
                <w:szCs w:val="16"/>
              </w:rPr>
            </w:pPr>
            <w:r w:rsidRPr="0099038E">
              <w:rPr>
                <w:rFonts w:ascii="Century" w:hAnsi="Century"/>
                <w:sz w:val="16"/>
                <w:szCs w:val="16"/>
              </w:rPr>
              <w:t>X</w:t>
            </w:r>
          </w:p>
        </w:tc>
        <w:tc>
          <w:tcPr>
            <w:tcW w:w="524" w:type="pct"/>
            <w:vAlign w:val="center"/>
          </w:tcPr>
          <w:p w:rsidR="00D00686" w:rsidRPr="0099038E" w:rsidRDefault="00D00686" w:rsidP="00713588">
            <w:pPr>
              <w:spacing w:line="360" w:lineRule="auto"/>
              <w:jc w:val="center"/>
              <w:rPr>
                <w:rFonts w:ascii="Century" w:hAnsi="Century"/>
                <w:sz w:val="16"/>
                <w:szCs w:val="16"/>
              </w:rPr>
            </w:pPr>
          </w:p>
        </w:tc>
        <w:tc>
          <w:tcPr>
            <w:tcW w:w="373" w:type="pct"/>
            <w:vAlign w:val="center"/>
          </w:tcPr>
          <w:p w:rsidR="00D00686" w:rsidRPr="0099038E" w:rsidRDefault="00D00686" w:rsidP="00713588">
            <w:pPr>
              <w:spacing w:line="360" w:lineRule="auto"/>
              <w:jc w:val="center"/>
              <w:rPr>
                <w:rFonts w:ascii="Century" w:hAnsi="Century"/>
                <w:sz w:val="16"/>
                <w:szCs w:val="16"/>
              </w:rPr>
            </w:pPr>
          </w:p>
        </w:tc>
        <w:tc>
          <w:tcPr>
            <w:tcW w:w="225" w:type="pct"/>
            <w:vAlign w:val="center"/>
          </w:tcPr>
          <w:p w:rsidR="00D00686" w:rsidRPr="0099038E" w:rsidRDefault="00D00686" w:rsidP="00713588">
            <w:pPr>
              <w:spacing w:line="360" w:lineRule="auto"/>
              <w:jc w:val="center"/>
              <w:rPr>
                <w:rFonts w:ascii="Century" w:hAnsi="Century"/>
                <w:sz w:val="16"/>
                <w:szCs w:val="16"/>
              </w:rPr>
            </w:pPr>
          </w:p>
        </w:tc>
        <w:tc>
          <w:tcPr>
            <w:tcW w:w="223" w:type="pct"/>
            <w:tcBorders>
              <w:right w:val="single" w:sz="4" w:space="0" w:color="auto"/>
            </w:tcBorders>
            <w:vAlign w:val="center"/>
          </w:tcPr>
          <w:p w:rsidR="00D00686" w:rsidRPr="0099038E" w:rsidRDefault="00D00686" w:rsidP="00713588">
            <w:pPr>
              <w:spacing w:line="360" w:lineRule="auto"/>
              <w:jc w:val="center"/>
              <w:rPr>
                <w:rFonts w:ascii="Century" w:hAnsi="Century"/>
                <w:sz w:val="16"/>
                <w:szCs w:val="16"/>
              </w:rPr>
            </w:pPr>
          </w:p>
        </w:tc>
      </w:tr>
      <w:tr w:rsidR="00451BDA" w:rsidRPr="0099038E" w:rsidTr="00451BDA">
        <w:trPr>
          <w:jc w:val="center"/>
        </w:trPr>
        <w:tc>
          <w:tcPr>
            <w:tcW w:w="826" w:type="pct"/>
            <w:gridSpan w:val="2"/>
            <w:vAlign w:val="center"/>
          </w:tcPr>
          <w:p w:rsidR="00D00686" w:rsidRPr="0099038E" w:rsidRDefault="00823964" w:rsidP="00713588">
            <w:pPr>
              <w:spacing w:line="360" w:lineRule="auto"/>
              <w:jc w:val="center"/>
              <w:rPr>
                <w:rFonts w:ascii="Century" w:hAnsi="Century"/>
                <w:b/>
                <w:sz w:val="18"/>
                <w:szCs w:val="18"/>
              </w:rPr>
            </w:pPr>
            <w:r w:rsidRPr="0099038E">
              <w:rPr>
                <w:rFonts w:ascii="Century" w:hAnsi="Century"/>
                <w:b/>
                <w:sz w:val="18"/>
                <w:szCs w:val="18"/>
              </w:rPr>
              <w:t>Galicia</w:t>
            </w:r>
          </w:p>
        </w:tc>
        <w:tc>
          <w:tcPr>
            <w:tcW w:w="479" w:type="pct"/>
            <w:vAlign w:val="center"/>
          </w:tcPr>
          <w:p w:rsidR="00D00686" w:rsidRPr="0099038E" w:rsidRDefault="00451BDA" w:rsidP="00713588">
            <w:pPr>
              <w:spacing w:line="360" w:lineRule="auto"/>
              <w:jc w:val="center"/>
              <w:rPr>
                <w:rFonts w:ascii="Century" w:hAnsi="Century"/>
                <w:sz w:val="16"/>
                <w:szCs w:val="16"/>
              </w:rPr>
            </w:pPr>
            <w:r w:rsidRPr="0099038E">
              <w:rPr>
                <w:rFonts w:ascii="Century" w:hAnsi="Century"/>
                <w:sz w:val="16"/>
                <w:szCs w:val="16"/>
              </w:rPr>
              <w:t>X</w:t>
            </w:r>
          </w:p>
        </w:tc>
        <w:tc>
          <w:tcPr>
            <w:tcW w:w="373" w:type="pct"/>
            <w:vAlign w:val="center"/>
          </w:tcPr>
          <w:p w:rsidR="00D00686" w:rsidRPr="0099038E" w:rsidRDefault="00451BDA" w:rsidP="00713588">
            <w:pPr>
              <w:spacing w:line="360" w:lineRule="auto"/>
              <w:jc w:val="center"/>
              <w:rPr>
                <w:rFonts w:ascii="Century" w:hAnsi="Century"/>
                <w:sz w:val="16"/>
                <w:szCs w:val="16"/>
              </w:rPr>
            </w:pPr>
            <w:r w:rsidRPr="0099038E">
              <w:rPr>
                <w:rFonts w:ascii="Century" w:hAnsi="Century"/>
                <w:sz w:val="16"/>
                <w:szCs w:val="16"/>
              </w:rPr>
              <w:t>X</w:t>
            </w:r>
          </w:p>
        </w:tc>
        <w:tc>
          <w:tcPr>
            <w:tcW w:w="240" w:type="pct"/>
            <w:vAlign w:val="center"/>
          </w:tcPr>
          <w:p w:rsidR="00D00686" w:rsidRPr="0099038E" w:rsidRDefault="00451BDA" w:rsidP="00713588">
            <w:pPr>
              <w:spacing w:line="360" w:lineRule="auto"/>
              <w:jc w:val="center"/>
              <w:rPr>
                <w:rFonts w:ascii="Century" w:hAnsi="Century"/>
                <w:sz w:val="16"/>
                <w:szCs w:val="16"/>
              </w:rPr>
            </w:pPr>
            <w:r w:rsidRPr="0099038E">
              <w:rPr>
                <w:rFonts w:ascii="Century" w:hAnsi="Century"/>
                <w:sz w:val="16"/>
                <w:szCs w:val="16"/>
              </w:rPr>
              <w:t>X</w:t>
            </w:r>
          </w:p>
        </w:tc>
        <w:tc>
          <w:tcPr>
            <w:tcW w:w="374" w:type="pct"/>
            <w:vAlign w:val="center"/>
          </w:tcPr>
          <w:p w:rsidR="00D00686" w:rsidRPr="0099038E" w:rsidRDefault="00D00686" w:rsidP="00713588">
            <w:pPr>
              <w:spacing w:line="360" w:lineRule="auto"/>
              <w:jc w:val="center"/>
              <w:rPr>
                <w:rFonts w:ascii="Century" w:hAnsi="Century"/>
                <w:sz w:val="16"/>
                <w:szCs w:val="16"/>
              </w:rPr>
            </w:pPr>
          </w:p>
        </w:tc>
        <w:tc>
          <w:tcPr>
            <w:tcW w:w="618" w:type="pct"/>
            <w:vAlign w:val="center"/>
          </w:tcPr>
          <w:p w:rsidR="00D00686" w:rsidRPr="0099038E" w:rsidRDefault="00451BDA" w:rsidP="00713588">
            <w:pPr>
              <w:spacing w:line="360" w:lineRule="auto"/>
              <w:jc w:val="center"/>
              <w:rPr>
                <w:rFonts w:ascii="Century" w:hAnsi="Century"/>
                <w:sz w:val="16"/>
                <w:szCs w:val="16"/>
              </w:rPr>
            </w:pPr>
            <w:r w:rsidRPr="0099038E">
              <w:rPr>
                <w:rFonts w:ascii="Century" w:hAnsi="Century"/>
                <w:sz w:val="16"/>
                <w:szCs w:val="16"/>
              </w:rPr>
              <w:t>X</w:t>
            </w:r>
          </w:p>
        </w:tc>
        <w:tc>
          <w:tcPr>
            <w:tcW w:w="373" w:type="pct"/>
            <w:vAlign w:val="center"/>
          </w:tcPr>
          <w:p w:rsidR="00D00686" w:rsidRPr="0099038E" w:rsidRDefault="00451BDA" w:rsidP="00713588">
            <w:pPr>
              <w:spacing w:line="360" w:lineRule="auto"/>
              <w:jc w:val="center"/>
              <w:rPr>
                <w:rFonts w:ascii="Century" w:hAnsi="Century"/>
                <w:sz w:val="16"/>
                <w:szCs w:val="16"/>
              </w:rPr>
            </w:pPr>
            <w:r w:rsidRPr="0099038E">
              <w:rPr>
                <w:rFonts w:ascii="Century" w:hAnsi="Century"/>
                <w:sz w:val="16"/>
                <w:szCs w:val="16"/>
              </w:rPr>
              <w:t>X</w:t>
            </w:r>
          </w:p>
        </w:tc>
        <w:tc>
          <w:tcPr>
            <w:tcW w:w="373" w:type="pct"/>
            <w:vAlign w:val="center"/>
          </w:tcPr>
          <w:p w:rsidR="00D00686" w:rsidRPr="0099038E" w:rsidRDefault="00451BDA" w:rsidP="00713588">
            <w:pPr>
              <w:spacing w:line="360" w:lineRule="auto"/>
              <w:jc w:val="center"/>
              <w:rPr>
                <w:rFonts w:ascii="Century" w:hAnsi="Century"/>
                <w:sz w:val="16"/>
                <w:szCs w:val="16"/>
              </w:rPr>
            </w:pPr>
            <w:r w:rsidRPr="0099038E">
              <w:rPr>
                <w:rFonts w:ascii="Century" w:hAnsi="Century"/>
                <w:sz w:val="16"/>
                <w:szCs w:val="16"/>
              </w:rPr>
              <w:t>X</w:t>
            </w:r>
          </w:p>
        </w:tc>
        <w:tc>
          <w:tcPr>
            <w:tcW w:w="524" w:type="pct"/>
            <w:vAlign w:val="center"/>
          </w:tcPr>
          <w:p w:rsidR="00D00686" w:rsidRPr="0099038E" w:rsidRDefault="00D00686" w:rsidP="00713588">
            <w:pPr>
              <w:spacing w:line="360" w:lineRule="auto"/>
              <w:jc w:val="center"/>
              <w:rPr>
                <w:rFonts w:ascii="Century" w:hAnsi="Century"/>
                <w:sz w:val="16"/>
                <w:szCs w:val="16"/>
              </w:rPr>
            </w:pPr>
          </w:p>
        </w:tc>
        <w:tc>
          <w:tcPr>
            <w:tcW w:w="373" w:type="pct"/>
            <w:vAlign w:val="center"/>
          </w:tcPr>
          <w:p w:rsidR="00D00686" w:rsidRPr="0099038E" w:rsidRDefault="00D00686" w:rsidP="00713588">
            <w:pPr>
              <w:spacing w:line="360" w:lineRule="auto"/>
              <w:jc w:val="center"/>
              <w:rPr>
                <w:rFonts w:ascii="Century" w:hAnsi="Century"/>
                <w:sz w:val="16"/>
                <w:szCs w:val="16"/>
              </w:rPr>
            </w:pPr>
          </w:p>
        </w:tc>
        <w:tc>
          <w:tcPr>
            <w:tcW w:w="225" w:type="pct"/>
            <w:vAlign w:val="center"/>
          </w:tcPr>
          <w:p w:rsidR="00D00686" w:rsidRPr="0099038E" w:rsidRDefault="00451BDA" w:rsidP="00713588">
            <w:pPr>
              <w:spacing w:line="360" w:lineRule="auto"/>
              <w:jc w:val="center"/>
              <w:rPr>
                <w:rFonts w:ascii="Century" w:hAnsi="Century"/>
                <w:sz w:val="16"/>
                <w:szCs w:val="16"/>
              </w:rPr>
            </w:pPr>
            <w:r w:rsidRPr="0099038E">
              <w:rPr>
                <w:rFonts w:ascii="Century" w:hAnsi="Century"/>
                <w:sz w:val="16"/>
                <w:szCs w:val="16"/>
              </w:rPr>
              <w:t>X</w:t>
            </w:r>
          </w:p>
        </w:tc>
        <w:tc>
          <w:tcPr>
            <w:tcW w:w="223" w:type="pct"/>
            <w:tcBorders>
              <w:right w:val="single" w:sz="4" w:space="0" w:color="auto"/>
            </w:tcBorders>
            <w:vAlign w:val="center"/>
          </w:tcPr>
          <w:p w:rsidR="00D00686" w:rsidRPr="0099038E" w:rsidRDefault="00451BDA" w:rsidP="00713588">
            <w:pPr>
              <w:spacing w:line="360" w:lineRule="auto"/>
              <w:jc w:val="center"/>
              <w:rPr>
                <w:rFonts w:ascii="Century" w:hAnsi="Century"/>
                <w:sz w:val="16"/>
                <w:szCs w:val="16"/>
              </w:rPr>
            </w:pPr>
            <w:r w:rsidRPr="0099038E">
              <w:rPr>
                <w:rFonts w:ascii="Century" w:hAnsi="Century"/>
                <w:sz w:val="16"/>
                <w:szCs w:val="16"/>
              </w:rPr>
              <w:t>X</w:t>
            </w:r>
          </w:p>
        </w:tc>
      </w:tr>
      <w:tr w:rsidR="00451BDA" w:rsidRPr="0099038E" w:rsidTr="00451BDA">
        <w:trPr>
          <w:jc w:val="center"/>
        </w:trPr>
        <w:tc>
          <w:tcPr>
            <w:tcW w:w="826" w:type="pct"/>
            <w:gridSpan w:val="2"/>
            <w:vAlign w:val="center"/>
          </w:tcPr>
          <w:p w:rsidR="00D00686" w:rsidRPr="0099038E" w:rsidRDefault="00823964" w:rsidP="00713588">
            <w:pPr>
              <w:spacing w:line="360" w:lineRule="auto"/>
              <w:jc w:val="center"/>
              <w:rPr>
                <w:rFonts w:ascii="Century" w:hAnsi="Century"/>
                <w:b/>
                <w:sz w:val="18"/>
                <w:szCs w:val="18"/>
              </w:rPr>
            </w:pPr>
            <w:r w:rsidRPr="0099038E">
              <w:rPr>
                <w:rFonts w:ascii="Century" w:hAnsi="Century"/>
                <w:b/>
                <w:sz w:val="18"/>
                <w:szCs w:val="18"/>
              </w:rPr>
              <w:t>La Rioja</w:t>
            </w:r>
          </w:p>
        </w:tc>
        <w:tc>
          <w:tcPr>
            <w:tcW w:w="479" w:type="pct"/>
            <w:vAlign w:val="center"/>
          </w:tcPr>
          <w:p w:rsidR="00D00686" w:rsidRPr="0099038E" w:rsidRDefault="00D00686" w:rsidP="00713588">
            <w:pPr>
              <w:spacing w:line="360" w:lineRule="auto"/>
              <w:jc w:val="center"/>
              <w:rPr>
                <w:rFonts w:ascii="Century" w:hAnsi="Century"/>
                <w:sz w:val="16"/>
                <w:szCs w:val="16"/>
              </w:rPr>
            </w:pPr>
          </w:p>
        </w:tc>
        <w:tc>
          <w:tcPr>
            <w:tcW w:w="373" w:type="pct"/>
            <w:vAlign w:val="center"/>
          </w:tcPr>
          <w:p w:rsidR="00D00686" w:rsidRPr="0099038E" w:rsidRDefault="00D00686" w:rsidP="00713588">
            <w:pPr>
              <w:spacing w:line="360" w:lineRule="auto"/>
              <w:jc w:val="center"/>
              <w:rPr>
                <w:rFonts w:ascii="Century" w:hAnsi="Century"/>
                <w:sz w:val="16"/>
                <w:szCs w:val="16"/>
              </w:rPr>
            </w:pPr>
          </w:p>
        </w:tc>
        <w:tc>
          <w:tcPr>
            <w:tcW w:w="240" w:type="pct"/>
            <w:vAlign w:val="center"/>
          </w:tcPr>
          <w:p w:rsidR="00D00686" w:rsidRPr="0099038E" w:rsidRDefault="00451BDA" w:rsidP="00713588">
            <w:pPr>
              <w:spacing w:line="360" w:lineRule="auto"/>
              <w:jc w:val="center"/>
              <w:rPr>
                <w:rFonts w:ascii="Century" w:hAnsi="Century"/>
                <w:sz w:val="16"/>
                <w:szCs w:val="16"/>
              </w:rPr>
            </w:pPr>
            <w:r w:rsidRPr="0099038E">
              <w:rPr>
                <w:rFonts w:ascii="Century" w:hAnsi="Century"/>
                <w:sz w:val="16"/>
                <w:szCs w:val="16"/>
              </w:rPr>
              <w:t>X</w:t>
            </w:r>
          </w:p>
        </w:tc>
        <w:tc>
          <w:tcPr>
            <w:tcW w:w="374" w:type="pct"/>
            <w:vAlign w:val="center"/>
          </w:tcPr>
          <w:p w:rsidR="00D00686" w:rsidRPr="0099038E" w:rsidRDefault="00D00686" w:rsidP="00713588">
            <w:pPr>
              <w:spacing w:line="360" w:lineRule="auto"/>
              <w:jc w:val="center"/>
              <w:rPr>
                <w:rFonts w:ascii="Century" w:hAnsi="Century"/>
                <w:sz w:val="16"/>
                <w:szCs w:val="16"/>
              </w:rPr>
            </w:pPr>
          </w:p>
        </w:tc>
        <w:tc>
          <w:tcPr>
            <w:tcW w:w="618" w:type="pct"/>
            <w:vAlign w:val="center"/>
          </w:tcPr>
          <w:p w:rsidR="00D00686" w:rsidRPr="0099038E" w:rsidRDefault="00451BDA" w:rsidP="00713588">
            <w:pPr>
              <w:spacing w:line="360" w:lineRule="auto"/>
              <w:jc w:val="center"/>
              <w:rPr>
                <w:rFonts w:ascii="Century" w:hAnsi="Century"/>
                <w:sz w:val="16"/>
                <w:szCs w:val="16"/>
              </w:rPr>
            </w:pPr>
            <w:r w:rsidRPr="0099038E">
              <w:rPr>
                <w:rFonts w:ascii="Century" w:hAnsi="Century"/>
                <w:sz w:val="16"/>
                <w:szCs w:val="16"/>
              </w:rPr>
              <w:t>X</w:t>
            </w:r>
          </w:p>
        </w:tc>
        <w:tc>
          <w:tcPr>
            <w:tcW w:w="373" w:type="pct"/>
            <w:vAlign w:val="center"/>
          </w:tcPr>
          <w:p w:rsidR="00D00686" w:rsidRPr="0099038E" w:rsidRDefault="00D00686" w:rsidP="00713588">
            <w:pPr>
              <w:spacing w:line="360" w:lineRule="auto"/>
              <w:jc w:val="center"/>
              <w:rPr>
                <w:rFonts w:ascii="Century" w:hAnsi="Century"/>
                <w:sz w:val="16"/>
                <w:szCs w:val="16"/>
              </w:rPr>
            </w:pPr>
          </w:p>
        </w:tc>
        <w:tc>
          <w:tcPr>
            <w:tcW w:w="373" w:type="pct"/>
            <w:vAlign w:val="center"/>
          </w:tcPr>
          <w:p w:rsidR="00D00686" w:rsidRPr="0099038E" w:rsidRDefault="00451BDA" w:rsidP="00713588">
            <w:pPr>
              <w:spacing w:line="360" w:lineRule="auto"/>
              <w:jc w:val="center"/>
              <w:rPr>
                <w:rFonts w:ascii="Century" w:hAnsi="Century"/>
                <w:sz w:val="16"/>
                <w:szCs w:val="16"/>
              </w:rPr>
            </w:pPr>
            <w:r w:rsidRPr="0099038E">
              <w:rPr>
                <w:rFonts w:ascii="Century" w:hAnsi="Century"/>
                <w:sz w:val="16"/>
                <w:szCs w:val="16"/>
              </w:rPr>
              <w:t>X</w:t>
            </w:r>
          </w:p>
        </w:tc>
        <w:tc>
          <w:tcPr>
            <w:tcW w:w="524" w:type="pct"/>
            <w:vAlign w:val="center"/>
          </w:tcPr>
          <w:p w:rsidR="00D00686" w:rsidRPr="0099038E" w:rsidRDefault="00D00686" w:rsidP="00713588">
            <w:pPr>
              <w:spacing w:line="360" w:lineRule="auto"/>
              <w:jc w:val="center"/>
              <w:rPr>
                <w:rFonts w:ascii="Century" w:hAnsi="Century"/>
                <w:sz w:val="16"/>
                <w:szCs w:val="16"/>
              </w:rPr>
            </w:pPr>
          </w:p>
        </w:tc>
        <w:tc>
          <w:tcPr>
            <w:tcW w:w="373" w:type="pct"/>
            <w:vAlign w:val="center"/>
          </w:tcPr>
          <w:p w:rsidR="00D00686" w:rsidRPr="0099038E" w:rsidRDefault="00D00686" w:rsidP="00713588">
            <w:pPr>
              <w:spacing w:line="360" w:lineRule="auto"/>
              <w:jc w:val="center"/>
              <w:rPr>
                <w:rFonts w:ascii="Century" w:hAnsi="Century"/>
                <w:sz w:val="16"/>
                <w:szCs w:val="16"/>
              </w:rPr>
            </w:pPr>
          </w:p>
        </w:tc>
        <w:tc>
          <w:tcPr>
            <w:tcW w:w="225" w:type="pct"/>
            <w:vAlign w:val="center"/>
          </w:tcPr>
          <w:p w:rsidR="00D00686" w:rsidRPr="0099038E" w:rsidRDefault="00D00686" w:rsidP="00713588">
            <w:pPr>
              <w:spacing w:line="360" w:lineRule="auto"/>
              <w:jc w:val="center"/>
              <w:rPr>
                <w:rFonts w:ascii="Century" w:hAnsi="Century"/>
                <w:sz w:val="16"/>
                <w:szCs w:val="16"/>
              </w:rPr>
            </w:pPr>
          </w:p>
        </w:tc>
        <w:tc>
          <w:tcPr>
            <w:tcW w:w="223" w:type="pct"/>
            <w:tcBorders>
              <w:right w:val="single" w:sz="4" w:space="0" w:color="auto"/>
            </w:tcBorders>
            <w:vAlign w:val="center"/>
          </w:tcPr>
          <w:p w:rsidR="00D00686" w:rsidRPr="0099038E" w:rsidRDefault="00D00686" w:rsidP="00713588">
            <w:pPr>
              <w:spacing w:line="360" w:lineRule="auto"/>
              <w:jc w:val="center"/>
              <w:rPr>
                <w:rFonts w:ascii="Century" w:hAnsi="Century"/>
                <w:sz w:val="16"/>
                <w:szCs w:val="16"/>
              </w:rPr>
            </w:pPr>
          </w:p>
        </w:tc>
      </w:tr>
      <w:tr w:rsidR="00451BDA" w:rsidRPr="0099038E" w:rsidTr="00451BDA">
        <w:trPr>
          <w:jc w:val="center"/>
        </w:trPr>
        <w:tc>
          <w:tcPr>
            <w:tcW w:w="826" w:type="pct"/>
            <w:gridSpan w:val="2"/>
            <w:vAlign w:val="center"/>
          </w:tcPr>
          <w:p w:rsidR="00D00686" w:rsidRPr="0099038E" w:rsidRDefault="00823964" w:rsidP="00713588">
            <w:pPr>
              <w:spacing w:line="360" w:lineRule="auto"/>
              <w:jc w:val="center"/>
              <w:rPr>
                <w:rFonts w:ascii="Century" w:hAnsi="Century"/>
                <w:b/>
                <w:sz w:val="18"/>
                <w:szCs w:val="18"/>
              </w:rPr>
            </w:pPr>
            <w:r w:rsidRPr="0099038E">
              <w:rPr>
                <w:rFonts w:ascii="Century" w:hAnsi="Century"/>
                <w:b/>
                <w:sz w:val="18"/>
                <w:szCs w:val="18"/>
              </w:rPr>
              <w:t>Madrid</w:t>
            </w:r>
          </w:p>
        </w:tc>
        <w:tc>
          <w:tcPr>
            <w:tcW w:w="479" w:type="pct"/>
            <w:vAlign w:val="center"/>
          </w:tcPr>
          <w:p w:rsidR="00D00686" w:rsidRPr="0099038E" w:rsidRDefault="00451BDA" w:rsidP="00713588">
            <w:pPr>
              <w:spacing w:line="360" w:lineRule="auto"/>
              <w:jc w:val="center"/>
              <w:rPr>
                <w:rFonts w:ascii="Century" w:hAnsi="Century"/>
                <w:sz w:val="16"/>
                <w:szCs w:val="16"/>
              </w:rPr>
            </w:pPr>
            <w:r w:rsidRPr="0099038E">
              <w:rPr>
                <w:rFonts w:ascii="Century" w:hAnsi="Century"/>
                <w:sz w:val="16"/>
                <w:szCs w:val="16"/>
              </w:rPr>
              <w:t>X</w:t>
            </w:r>
          </w:p>
        </w:tc>
        <w:tc>
          <w:tcPr>
            <w:tcW w:w="373" w:type="pct"/>
            <w:vAlign w:val="center"/>
          </w:tcPr>
          <w:p w:rsidR="00D00686" w:rsidRPr="0099038E" w:rsidRDefault="00451BDA" w:rsidP="00713588">
            <w:pPr>
              <w:spacing w:line="360" w:lineRule="auto"/>
              <w:jc w:val="center"/>
              <w:rPr>
                <w:rFonts w:ascii="Century" w:hAnsi="Century"/>
                <w:sz w:val="16"/>
                <w:szCs w:val="16"/>
              </w:rPr>
            </w:pPr>
            <w:r w:rsidRPr="0099038E">
              <w:rPr>
                <w:rFonts w:ascii="Century" w:hAnsi="Century"/>
                <w:sz w:val="16"/>
                <w:szCs w:val="16"/>
              </w:rPr>
              <w:t>X</w:t>
            </w:r>
          </w:p>
        </w:tc>
        <w:tc>
          <w:tcPr>
            <w:tcW w:w="240" w:type="pct"/>
            <w:vAlign w:val="center"/>
          </w:tcPr>
          <w:p w:rsidR="00D00686" w:rsidRPr="0099038E" w:rsidRDefault="00451BDA" w:rsidP="00713588">
            <w:pPr>
              <w:spacing w:line="360" w:lineRule="auto"/>
              <w:jc w:val="center"/>
              <w:rPr>
                <w:rFonts w:ascii="Century" w:hAnsi="Century"/>
                <w:sz w:val="16"/>
                <w:szCs w:val="16"/>
              </w:rPr>
            </w:pPr>
            <w:r w:rsidRPr="0099038E">
              <w:rPr>
                <w:rFonts w:ascii="Century" w:hAnsi="Century"/>
                <w:sz w:val="16"/>
                <w:szCs w:val="16"/>
              </w:rPr>
              <w:t>X</w:t>
            </w:r>
          </w:p>
        </w:tc>
        <w:tc>
          <w:tcPr>
            <w:tcW w:w="374" w:type="pct"/>
            <w:vAlign w:val="center"/>
          </w:tcPr>
          <w:p w:rsidR="00D00686" w:rsidRPr="0099038E" w:rsidRDefault="00451BDA" w:rsidP="00713588">
            <w:pPr>
              <w:spacing w:line="360" w:lineRule="auto"/>
              <w:jc w:val="center"/>
              <w:rPr>
                <w:rFonts w:ascii="Century" w:hAnsi="Century"/>
                <w:sz w:val="16"/>
                <w:szCs w:val="16"/>
              </w:rPr>
            </w:pPr>
            <w:r w:rsidRPr="0099038E">
              <w:rPr>
                <w:rFonts w:ascii="Century" w:hAnsi="Century"/>
                <w:sz w:val="16"/>
                <w:szCs w:val="16"/>
              </w:rPr>
              <w:t>X</w:t>
            </w:r>
          </w:p>
        </w:tc>
        <w:tc>
          <w:tcPr>
            <w:tcW w:w="618" w:type="pct"/>
            <w:vAlign w:val="center"/>
          </w:tcPr>
          <w:p w:rsidR="00D00686" w:rsidRPr="0099038E" w:rsidRDefault="00451BDA" w:rsidP="00713588">
            <w:pPr>
              <w:spacing w:line="360" w:lineRule="auto"/>
              <w:jc w:val="center"/>
              <w:rPr>
                <w:rFonts w:ascii="Century" w:hAnsi="Century"/>
                <w:sz w:val="16"/>
                <w:szCs w:val="16"/>
              </w:rPr>
            </w:pPr>
            <w:r w:rsidRPr="0099038E">
              <w:rPr>
                <w:rFonts w:ascii="Century" w:hAnsi="Century"/>
                <w:sz w:val="16"/>
                <w:szCs w:val="16"/>
              </w:rPr>
              <w:t>X</w:t>
            </w:r>
          </w:p>
        </w:tc>
        <w:tc>
          <w:tcPr>
            <w:tcW w:w="373" w:type="pct"/>
            <w:vAlign w:val="center"/>
          </w:tcPr>
          <w:p w:rsidR="00D00686" w:rsidRPr="0099038E" w:rsidRDefault="00D00686" w:rsidP="00713588">
            <w:pPr>
              <w:spacing w:line="360" w:lineRule="auto"/>
              <w:jc w:val="center"/>
              <w:rPr>
                <w:rFonts w:ascii="Century" w:hAnsi="Century"/>
                <w:sz w:val="16"/>
                <w:szCs w:val="16"/>
              </w:rPr>
            </w:pPr>
          </w:p>
        </w:tc>
        <w:tc>
          <w:tcPr>
            <w:tcW w:w="373" w:type="pct"/>
            <w:vAlign w:val="center"/>
          </w:tcPr>
          <w:p w:rsidR="00D00686" w:rsidRPr="0099038E" w:rsidRDefault="00D00686" w:rsidP="00713588">
            <w:pPr>
              <w:spacing w:line="360" w:lineRule="auto"/>
              <w:jc w:val="center"/>
              <w:rPr>
                <w:rFonts w:ascii="Century" w:hAnsi="Century"/>
                <w:sz w:val="16"/>
                <w:szCs w:val="16"/>
              </w:rPr>
            </w:pPr>
          </w:p>
        </w:tc>
        <w:tc>
          <w:tcPr>
            <w:tcW w:w="524" w:type="pct"/>
            <w:vAlign w:val="center"/>
          </w:tcPr>
          <w:p w:rsidR="00D00686" w:rsidRPr="0099038E" w:rsidRDefault="00451BDA" w:rsidP="00713588">
            <w:pPr>
              <w:spacing w:line="360" w:lineRule="auto"/>
              <w:jc w:val="center"/>
              <w:rPr>
                <w:rFonts w:ascii="Century" w:hAnsi="Century"/>
                <w:sz w:val="16"/>
                <w:szCs w:val="16"/>
              </w:rPr>
            </w:pPr>
            <w:r w:rsidRPr="0099038E">
              <w:rPr>
                <w:rFonts w:ascii="Century" w:hAnsi="Century"/>
                <w:sz w:val="16"/>
                <w:szCs w:val="16"/>
              </w:rPr>
              <w:t>X</w:t>
            </w:r>
          </w:p>
        </w:tc>
        <w:tc>
          <w:tcPr>
            <w:tcW w:w="373" w:type="pct"/>
            <w:vAlign w:val="center"/>
          </w:tcPr>
          <w:p w:rsidR="00D00686" w:rsidRPr="0099038E" w:rsidRDefault="00D00686" w:rsidP="00713588">
            <w:pPr>
              <w:spacing w:line="360" w:lineRule="auto"/>
              <w:jc w:val="center"/>
              <w:rPr>
                <w:rFonts w:ascii="Century" w:hAnsi="Century"/>
                <w:sz w:val="16"/>
                <w:szCs w:val="16"/>
              </w:rPr>
            </w:pPr>
          </w:p>
        </w:tc>
        <w:tc>
          <w:tcPr>
            <w:tcW w:w="225" w:type="pct"/>
            <w:vAlign w:val="center"/>
          </w:tcPr>
          <w:p w:rsidR="00D00686" w:rsidRPr="0099038E" w:rsidRDefault="00451BDA" w:rsidP="00713588">
            <w:pPr>
              <w:spacing w:line="360" w:lineRule="auto"/>
              <w:jc w:val="center"/>
              <w:rPr>
                <w:rFonts w:ascii="Century" w:hAnsi="Century"/>
                <w:sz w:val="16"/>
                <w:szCs w:val="16"/>
              </w:rPr>
            </w:pPr>
            <w:r w:rsidRPr="0099038E">
              <w:rPr>
                <w:rFonts w:ascii="Century" w:hAnsi="Century"/>
                <w:sz w:val="16"/>
                <w:szCs w:val="16"/>
              </w:rPr>
              <w:t>X</w:t>
            </w:r>
          </w:p>
        </w:tc>
        <w:tc>
          <w:tcPr>
            <w:tcW w:w="223" w:type="pct"/>
            <w:tcBorders>
              <w:right w:val="single" w:sz="4" w:space="0" w:color="auto"/>
            </w:tcBorders>
            <w:vAlign w:val="center"/>
          </w:tcPr>
          <w:p w:rsidR="00D00686" w:rsidRPr="0099038E" w:rsidRDefault="00451BDA" w:rsidP="00713588">
            <w:pPr>
              <w:spacing w:line="360" w:lineRule="auto"/>
              <w:jc w:val="center"/>
              <w:rPr>
                <w:rFonts w:ascii="Century" w:hAnsi="Century"/>
                <w:sz w:val="16"/>
                <w:szCs w:val="16"/>
              </w:rPr>
            </w:pPr>
            <w:r w:rsidRPr="0099038E">
              <w:rPr>
                <w:rFonts w:ascii="Century" w:hAnsi="Century"/>
                <w:sz w:val="16"/>
                <w:szCs w:val="16"/>
              </w:rPr>
              <w:t>X</w:t>
            </w:r>
          </w:p>
        </w:tc>
      </w:tr>
      <w:tr w:rsidR="00451BDA" w:rsidRPr="0099038E" w:rsidTr="00451BDA">
        <w:trPr>
          <w:jc w:val="center"/>
        </w:trPr>
        <w:tc>
          <w:tcPr>
            <w:tcW w:w="826" w:type="pct"/>
            <w:gridSpan w:val="2"/>
            <w:vAlign w:val="center"/>
          </w:tcPr>
          <w:p w:rsidR="00D00686" w:rsidRPr="0099038E" w:rsidRDefault="00823964" w:rsidP="00713588">
            <w:pPr>
              <w:spacing w:line="360" w:lineRule="auto"/>
              <w:jc w:val="center"/>
              <w:rPr>
                <w:rFonts w:ascii="Century" w:hAnsi="Century"/>
                <w:b/>
                <w:sz w:val="18"/>
                <w:szCs w:val="18"/>
              </w:rPr>
            </w:pPr>
            <w:r w:rsidRPr="0099038E">
              <w:rPr>
                <w:rFonts w:ascii="Century" w:hAnsi="Century"/>
                <w:b/>
                <w:sz w:val="18"/>
                <w:szCs w:val="18"/>
              </w:rPr>
              <w:t>Murcia</w:t>
            </w:r>
          </w:p>
        </w:tc>
        <w:tc>
          <w:tcPr>
            <w:tcW w:w="479" w:type="pct"/>
            <w:vAlign w:val="center"/>
          </w:tcPr>
          <w:p w:rsidR="00D00686" w:rsidRPr="0099038E" w:rsidRDefault="00D00686" w:rsidP="00713588">
            <w:pPr>
              <w:spacing w:line="360" w:lineRule="auto"/>
              <w:jc w:val="center"/>
              <w:rPr>
                <w:rFonts w:ascii="Century" w:hAnsi="Century"/>
                <w:sz w:val="16"/>
                <w:szCs w:val="16"/>
              </w:rPr>
            </w:pPr>
          </w:p>
        </w:tc>
        <w:tc>
          <w:tcPr>
            <w:tcW w:w="373" w:type="pct"/>
            <w:vAlign w:val="center"/>
          </w:tcPr>
          <w:p w:rsidR="00D00686" w:rsidRPr="0099038E" w:rsidRDefault="00D00686" w:rsidP="00713588">
            <w:pPr>
              <w:spacing w:line="360" w:lineRule="auto"/>
              <w:jc w:val="center"/>
              <w:rPr>
                <w:rFonts w:ascii="Century" w:hAnsi="Century"/>
                <w:sz w:val="16"/>
                <w:szCs w:val="16"/>
              </w:rPr>
            </w:pPr>
          </w:p>
        </w:tc>
        <w:tc>
          <w:tcPr>
            <w:tcW w:w="240" w:type="pct"/>
            <w:vAlign w:val="center"/>
          </w:tcPr>
          <w:p w:rsidR="00D00686" w:rsidRPr="0099038E" w:rsidRDefault="00D00686" w:rsidP="00713588">
            <w:pPr>
              <w:spacing w:line="360" w:lineRule="auto"/>
              <w:jc w:val="center"/>
              <w:rPr>
                <w:rFonts w:ascii="Century" w:hAnsi="Century"/>
                <w:sz w:val="16"/>
                <w:szCs w:val="16"/>
              </w:rPr>
            </w:pPr>
          </w:p>
        </w:tc>
        <w:tc>
          <w:tcPr>
            <w:tcW w:w="374" w:type="pct"/>
            <w:vAlign w:val="center"/>
          </w:tcPr>
          <w:p w:rsidR="00D00686" w:rsidRPr="0099038E" w:rsidRDefault="00451BDA" w:rsidP="00713588">
            <w:pPr>
              <w:spacing w:line="360" w:lineRule="auto"/>
              <w:jc w:val="center"/>
              <w:rPr>
                <w:rFonts w:ascii="Century" w:hAnsi="Century"/>
                <w:sz w:val="16"/>
                <w:szCs w:val="16"/>
              </w:rPr>
            </w:pPr>
            <w:r w:rsidRPr="0099038E">
              <w:rPr>
                <w:rFonts w:ascii="Century" w:hAnsi="Century"/>
                <w:sz w:val="16"/>
                <w:szCs w:val="16"/>
              </w:rPr>
              <w:t>X</w:t>
            </w:r>
          </w:p>
        </w:tc>
        <w:tc>
          <w:tcPr>
            <w:tcW w:w="618" w:type="pct"/>
            <w:vAlign w:val="center"/>
          </w:tcPr>
          <w:p w:rsidR="00D00686" w:rsidRPr="0099038E" w:rsidRDefault="00451BDA" w:rsidP="00713588">
            <w:pPr>
              <w:spacing w:line="360" w:lineRule="auto"/>
              <w:jc w:val="center"/>
              <w:rPr>
                <w:rFonts w:ascii="Century" w:hAnsi="Century"/>
                <w:sz w:val="16"/>
                <w:szCs w:val="16"/>
              </w:rPr>
            </w:pPr>
            <w:r w:rsidRPr="0099038E">
              <w:rPr>
                <w:rFonts w:ascii="Century" w:hAnsi="Century"/>
                <w:sz w:val="16"/>
                <w:szCs w:val="16"/>
              </w:rPr>
              <w:t>X</w:t>
            </w:r>
          </w:p>
        </w:tc>
        <w:tc>
          <w:tcPr>
            <w:tcW w:w="373" w:type="pct"/>
            <w:vAlign w:val="center"/>
          </w:tcPr>
          <w:p w:rsidR="00D00686" w:rsidRPr="0099038E" w:rsidRDefault="00451BDA" w:rsidP="00713588">
            <w:pPr>
              <w:spacing w:line="360" w:lineRule="auto"/>
              <w:jc w:val="center"/>
              <w:rPr>
                <w:rFonts w:ascii="Century" w:hAnsi="Century"/>
                <w:sz w:val="16"/>
                <w:szCs w:val="16"/>
              </w:rPr>
            </w:pPr>
            <w:r w:rsidRPr="0099038E">
              <w:rPr>
                <w:rFonts w:ascii="Century" w:hAnsi="Century"/>
                <w:sz w:val="16"/>
                <w:szCs w:val="16"/>
              </w:rPr>
              <w:t>X</w:t>
            </w:r>
          </w:p>
        </w:tc>
        <w:tc>
          <w:tcPr>
            <w:tcW w:w="373" w:type="pct"/>
            <w:vAlign w:val="center"/>
          </w:tcPr>
          <w:p w:rsidR="00D00686" w:rsidRPr="0099038E" w:rsidRDefault="00451BDA" w:rsidP="00713588">
            <w:pPr>
              <w:spacing w:line="360" w:lineRule="auto"/>
              <w:jc w:val="center"/>
              <w:rPr>
                <w:rFonts w:ascii="Century" w:hAnsi="Century"/>
                <w:sz w:val="16"/>
                <w:szCs w:val="16"/>
              </w:rPr>
            </w:pPr>
            <w:r w:rsidRPr="0099038E">
              <w:rPr>
                <w:rFonts w:ascii="Century" w:hAnsi="Century"/>
                <w:sz w:val="16"/>
                <w:szCs w:val="16"/>
              </w:rPr>
              <w:t>X</w:t>
            </w:r>
          </w:p>
        </w:tc>
        <w:tc>
          <w:tcPr>
            <w:tcW w:w="524" w:type="pct"/>
            <w:vAlign w:val="center"/>
          </w:tcPr>
          <w:p w:rsidR="00D00686" w:rsidRPr="0099038E" w:rsidRDefault="00451BDA" w:rsidP="00713588">
            <w:pPr>
              <w:spacing w:line="360" w:lineRule="auto"/>
              <w:jc w:val="center"/>
              <w:rPr>
                <w:rFonts w:ascii="Century" w:hAnsi="Century"/>
                <w:sz w:val="16"/>
                <w:szCs w:val="16"/>
              </w:rPr>
            </w:pPr>
            <w:r w:rsidRPr="0099038E">
              <w:rPr>
                <w:rFonts w:ascii="Century" w:hAnsi="Century"/>
                <w:sz w:val="16"/>
                <w:szCs w:val="16"/>
              </w:rPr>
              <w:t>X</w:t>
            </w:r>
          </w:p>
        </w:tc>
        <w:tc>
          <w:tcPr>
            <w:tcW w:w="373" w:type="pct"/>
            <w:vAlign w:val="center"/>
          </w:tcPr>
          <w:p w:rsidR="00D00686" w:rsidRPr="0099038E" w:rsidRDefault="00D00686" w:rsidP="00713588">
            <w:pPr>
              <w:spacing w:line="360" w:lineRule="auto"/>
              <w:jc w:val="center"/>
              <w:rPr>
                <w:rFonts w:ascii="Century" w:hAnsi="Century"/>
                <w:sz w:val="16"/>
                <w:szCs w:val="16"/>
              </w:rPr>
            </w:pPr>
          </w:p>
        </w:tc>
        <w:tc>
          <w:tcPr>
            <w:tcW w:w="225" w:type="pct"/>
            <w:vAlign w:val="center"/>
          </w:tcPr>
          <w:p w:rsidR="00D00686" w:rsidRPr="0099038E" w:rsidRDefault="00D00686" w:rsidP="00713588">
            <w:pPr>
              <w:spacing w:line="360" w:lineRule="auto"/>
              <w:jc w:val="center"/>
              <w:rPr>
                <w:rFonts w:ascii="Century" w:hAnsi="Century"/>
                <w:sz w:val="16"/>
                <w:szCs w:val="16"/>
              </w:rPr>
            </w:pPr>
          </w:p>
        </w:tc>
        <w:tc>
          <w:tcPr>
            <w:tcW w:w="223" w:type="pct"/>
            <w:tcBorders>
              <w:right w:val="single" w:sz="4" w:space="0" w:color="auto"/>
            </w:tcBorders>
            <w:vAlign w:val="center"/>
          </w:tcPr>
          <w:p w:rsidR="00D00686" w:rsidRPr="0099038E" w:rsidRDefault="00D00686" w:rsidP="00713588">
            <w:pPr>
              <w:spacing w:line="360" w:lineRule="auto"/>
              <w:jc w:val="center"/>
              <w:rPr>
                <w:rFonts w:ascii="Century" w:hAnsi="Century"/>
                <w:sz w:val="16"/>
                <w:szCs w:val="16"/>
              </w:rPr>
            </w:pPr>
          </w:p>
        </w:tc>
      </w:tr>
      <w:tr w:rsidR="00451BDA" w:rsidRPr="0099038E" w:rsidTr="00451BDA">
        <w:trPr>
          <w:jc w:val="center"/>
        </w:trPr>
        <w:tc>
          <w:tcPr>
            <w:tcW w:w="826" w:type="pct"/>
            <w:gridSpan w:val="2"/>
            <w:vAlign w:val="center"/>
          </w:tcPr>
          <w:p w:rsidR="00D00686" w:rsidRPr="0099038E" w:rsidRDefault="00823964" w:rsidP="00713588">
            <w:pPr>
              <w:spacing w:line="360" w:lineRule="auto"/>
              <w:jc w:val="center"/>
              <w:rPr>
                <w:rFonts w:ascii="Century" w:hAnsi="Century"/>
                <w:b/>
                <w:sz w:val="18"/>
                <w:szCs w:val="18"/>
              </w:rPr>
            </w:pPr>
            <w:r w:rsidRPr="0099038E">
              <w:rPr>
                <w:rFonts w:ascii="Century" w:hAnsi="Century"/>
                <w:b/>
                <w:sz w:val="18"/>
                <w:szCs w:val="18"/>
              </w:rPr>
              <w:t>Valencia</w:t>
            </w:r>
          </w:p>
        </w:tc>
        <w:tc>
          <w:tcPr>
            <w:tcW w:w="479" w:type="pct"/>
            <w:vAlign w:val="center"/>
          </w:tcPr>
          <w:p w:rsidR="00D00686" w:rsidRPr="0099038E" w:rsidRDefault="00451BDA" w:rsidP="00713588">
            <w:pPr>
              <w:spacing w:line="360" w:lineRule="auto"/>
              <w:jc w:val="center"/>
              <w:rPr>
                <w:rFonts w:ascii="Century" w:hAnsi="Century"/>
                <w:sz w:val="16"/>
                <w:szCs w:val="16"/>
              </w:rPr>
            </w:pPr>
            <w:r w:rsidRPr="0099038E">
              <w:rPr>
                <w:rFonts w:ascii="Century" w:hAnsi="Century"/>
                <w:sz w:val="16"/>
                <w:szCs w:val="16"/>
              </w:rPr>
              <w:t>X</w:t>
            </w:r>
          </w:p>
        </w:tc>
        <w:tc>
          <w:tcPr>
            <w:tcW w:w="373" w:type="pct"/>
            <w:vAlign w:val="center"/>
          </w:tcPr>
          <w:p w:rsidR="00D00686" w:rsidRPr="0099038E" w:rsidRDefault="00451BDA" w:rsidP="00713588">
            <w:pPr>
              <w:spacing w:line="360" w:lineRule="auto"/>
              <w:jc w:val="center"/>
              <w:rPr>
                <w:rFonts w:ascii="Century" w:hAnsi="Century"/>
                <w:sz w:val="16"/>
                <w:szCs w:val="16"/>
              </w:rPr>
            </w:pPr>
            <w:r w:rsidRPr="0099038E">
              <w:rPr>
                <w:rFonts w:ascii="Century" w:hAnsi="Century"/>
                <w:sz w:val="16"/>
                <w:szCs w:val="16"/>
              </w:rPr>
              <w:t>X</w:t>
            </w:r>
          </w:p>
        </w:tc>
        <w:tc>
          <w:tcPr>
            <w:tcW w:w="240" w:type="pct"/>
            <w:vAlign w:val="center"/>
          </w:tcPr>
          <w:p w:rsidR="00D00686" w:rsidRPr="0099038E" w:rsidRDefault="00451BDA" w:rsidP="00713588">
            <w:pPr>
              <w:spacing w:line="360" w:lineRule="auto"/>
              <w:jc w:val="center"/>
              <w:rPr>
                <w:rFonts w:ascii="Century" w:hAnsi="Century"/>
                <w:sz w:val="16"/>
                <w:szCs w:val="16"/>
              </w:rPr>
            </w:pPr>
            <w:r w:rsidRPr="0099038E">
              <w:rPr>
                <w:rFonts w:ascii="Century" w:hAnsi="Century"/>
                <w:sz w:val="16"/>
                <w:szCs w:val="16"/>
              </w:rPr>
              <w:t>X</w:t>
            </w:r>
          </w:p>
        </w:tc>
        <w:tc>
          <w:tcPr>
            <w:tcW w:w="374" w:type="pct"/>
            <w:vAlign w:val="center"/>
          </w:tcPr>
          <w:p w:rsidR="00D00686" w:rsidRPr="0099038E" w:rsidRDefault="00D00686" w:rsidP="00713588">
            <w:pPr>
              <w:spacing w:line="360" w:lineRule="auto"/>
              <w:jc w:val="center"/>
              <w:rPr>
                <w:rFonts w:ascii="Century" w:hAnsi="Century"/>
                <w:sz w:val="16"/>
                <w:szCs w:val="16"/>
              </w:rPr>
            </w:pPr>
          </w:p>
        </w:tc>
        <w:tc>
          <w:tcPr>
            <w:tcW w:w="618" w:type="pct"/>
            <w:vAlign w:val="center"/>
          </w:tcPr>
          <w:p w:rsidR="00D00686" w:rsidRPr="0099038E" w:rsidRDefault="00451BDA" w:rsidP="00713588">
            <w:pPr>
              <w:spacing w:line="360" w:lineRule="auto"/>
              <w:jc w:val="center"/>
              <w:rPr>
                <w:rFonts w:ascii="Century" w:hAnsi="Century"/>
                <w:sz w:val="16"/>
                <w:szCs w:val="16"/>
              </w:rPr>
            </w:pPr>
            <w:r w:rsidRPr="0099038E">
              <w:rPr>
                <w:rFonts w:ascii="Century" w:hAnsi="Century"/>
                <w:sz w:val="16"/>
                <w:szCs w:val="16"/>
              </w:rPr>
              <w:t>X</w:t>
            </w:r>
          </w:p>
        </w:tc>
        <w:tc>
          <w:tcPr>
            <w:tcW w:w="373" w:type="pct"/>
            <w:vAlign w:val="center"/>
          </w:tcPr>
          <w:p w:rsidR="00D00686" w:rsidRPr="0099038E" w:rsidRDefault="00D00686" w:rsidP="00713588">
            <w:pPr>
              <w:spacing w:line="360" w:lineRule="auto"/>
              <w:jc w:val="center"/>
              <w:rPr>
                <w:rFonts w:ascii="Century" w:hAnsi="Century"/>
                <w:sz w:val="16"/>
                <w:szCs w:val="16"/>
              </w:rPr>
            </w:pPr>
          </w:p>
        </w:tc>
        <w:tc>
          <w:tcPr>
            <w:tcW w:w="373" w:type="pct"/>
            <w:vAlign w:val="center"/>
          </w:tcPr>
          <w:p w:rsidR="00D00686" w:rsidRPr="0099038E" w:rsidRDefault="00451BDA" w:rsidP="00713588">
            <w:pPr>
              <w:spacing w:line="360" w:lineRule="auto"/>
              <w:jc w:val="center"/>
              <w:rPr>
                <w:rFonts w:ascii="Century" w:hAnsi="Century"/>
                <w:sz w:val="16"/>
                <w:szCs w:val="16"/>
              </w:rPr>
            </w:pPr>
            <w:r w:rsidRPr="0099038E">
              <w:rPr>
                <w:rFonts w:ascii="Century" w:hAnsi="Century"/>
                <w:sz w:val="16"/>
                <w:szCs w:val="16"/>
              </w:rPr>
              <w:t>X</w:t>
            </w:r>
          </w:p>
        </w:tc>
        <w:tc>
          <w:tcPr>
            <w:tcW w:w="524" w:type="pct"/>
            <w:vAlign w:val="center"/>
          </w:tcPr>
          <w:p w:rsidR="00D00686" w:rsidRPr="0099038E" w:rsidRDefault="00451BDA" w:rsidP="00713588">
            <w:pPr>
              <w:spacing w:line="360" w:lineRule="auto"/>
              <w:jc w:val="center"/>
              <w:rPr>
                <w:rFonts w:ascii="Century" w:hAnsi="Century"/>
                <w:sz w:val="16"/>
                <w:szCs w:val="16"/>
              </w:rPr>
            </w:pPr>
            <w:r w:rsidRPr="0099038E">
              <w:rPr>
                <w:rFonts w:ascii="Century" w:hAnsi="Century"/>
                <w:sz w:val="16"/>
                <w:szCs w:val="16"/>
              </w:rPr>
              <w:t>X</w:t>
            </w:r>
          </w:p>
        </w:tc>
        <w:tc>
          <w:tcPr>
            <w:tcW w:w="373" w:type="pct"/>
            <w:vAlign w:val="center"/>
          </w:tcPr>
          <w:p w:rsidR="00D00686" w:rsidRPr="0099038E" w:rsidRDefault="00D00686" w:rsidP="00713588">
            <w:pPr>
              <w:spacing w:line="360" w:lineRule="auto"/>
              <w:jc w:val="center"/>
              <w:rPr>
                <w:rFonts w:ascii="Century" w:hAnsi="Century"/>
                <w:sz w:val="16"/>
                <w:szCs w:val="16"/>
              </w:rPr>
            </w:pPr>
          </w:p>
        </w:tc>
        <w:tc>
          <w:tcPr>
            <w:tcW w:w="225" w:type="pct"/>
            <w:vAlign w:val="center"/>
          </w:tcPr>
          <w:p w:rsidR="00D00686" w:rsidRPr="0099038E" w:rsidRDefault="00D00686" w:rsidP="00713588">
            <w:pPr>
              <w:spacing w:line="360" w:lineRule="auto"/>
              <w:jc w:val="center"/>
              <w:rPr>
                <w:rFonts w:ascii="Century" w:hAnsi="Century"/>
                <w:sz w:val="16"/>
                <w:szCs w:val="16"/>
              </w:rPr>
            </w:pPr>
          </w:p>
        </w:tc>
        <w:tc>
          <w:tcPr>
            <w:tcW w:w="223" w:type="pct"/>
            <w:tcBorders>
              <w:right w:val="single" w:sz="4" w:space="0" w:color="auto"/>
            </w:tcBorders>
            <w:vAlign w:val="center"/>
          </w:tcPr>
          <w:p w:rsidR="00D00686" w:rsidRPr="0099038E" w:rsidRDefault="00D00686" w:rsidP="00713588">
            <w:pPr>
              <w:spacing w:line="360" w:lineRule="auto"/>
              <w:jc w:val="center"/>
              <w:rPr>
                <w:rFonts w:ascii="Century" w:hAnsi="Century"/>
                <w:sz w:val="16"/>
                <w:szCs w:val="16"/>
              </w:rPr>
            </w:pPr>
          </w:p>
        </w:tc>
      </w:tr>
      <w:tr w:rsidR="00451BDA" w:rsidRPr="0099038E" w:rsidTr="00451BDA">
        <w:trPr>
          <w:jc w:val="center"/>
        </w:trPr>
        <w:tc>
          <w:tcPr>
            <w:tcW w:w="826" w:type="pct"/>
            <w:gridSpan w:val="2"/>
            <w:vAlign w:val="center"/>
          </w:tcPr>
          <w:p w:rsidR="00D00686" w:rsidRPr="0099038E" w:rsidRDefault="00823964" w:rsidP="00713588">
            <w:pPr>
              <w:spacing w:line="360" w:lineRule="auto"/>
              <w:jc w:val="center"/>
              <w:rPr>
                <w:rFonts w:ascii="Century" w:hAnsi="Century"/>
                <w:b/>
                <w:sz w:val="18"/>
                <w:szCs w:val="18"/>
              </w:rPr>
            </w:pPr>
            <w:r w:rsidRPr="0099038E">
              <w:rPr>
                <w:rFonts w:ascii="Century" w:hAnsi="Century"/>
                <w:b/>
                <w:sz w:val="18"/>
                <w:szCs w:val="18"/>
              </w:rPr>
              <w:t>Navarra</w:t>
            </w:r>
          </w:p>
        </w:tc>
        <w:tc>
          <w:tcPr>
            <w:tcW w:w="479" w:type="pct"/>
            <w:vAlign w:val="center"/>
          </w:tcPr>
          <w:p w:rsidR="00D00686" w:rsidRPr="0099038E" w:rsidRDefault="00D00686" w:rsidP="00713588">
            <w:pPr>
              <w:spacing w:line="360" w:lineRule="auto"/>
              <w:jc w:val="center"/>
              <w:rPr>
                <w:rFonts w:ascii="Century" w:hAnsi="Century"/>
                <w:sz w:val="16"/>
                <w:szCs w:val="16"/>
              </w:rPr>
            </w:pPr>
          </w:p>
        </w:tc>
        <w:tc>
          <w:tcPr>
            <w:tcW w:w="373" w:type="pct"/>
            <w:vAlign w:val="center"/>
          </w:tcPr>
          <w:p w:rsidR="00D00686" w:rsidRPr="0099038E" w:rsidRDefault="00451BDA" w:rsidP="00713588">
            <w:pPr>
              <w:spacing w:line="360" w:lineRule="auto"/>
              <w:jc w:val="center"/>
              <w:rPr>
                <w:rFonts w:ascii="Century" w:hAnsi="Century"/>
                <w:sz w:val="16"/>
                <w:szCs w:val="16"/>
              </w:rPr>
            </w:pPr>
            <w:r w:rsidRPr="0099038E">
              <w:rPr>
                <w:rFonts w:ascii="Century" w:hAnsi="Century"/>
                <w:sz w:val="16"/>
                <w:szCs w:val="16"/>
              </w:rPr>
              <w:t>X</w:t>
            </w:r>
          </w:p>
        </w:tc>
        <w:tc>
          <w:tcPr>
            <w:tcW w:w="240" w:type="pct"/>
            <w:vAlign w:val="center"/>
          </w:tcPr>
          <w:p w:rsidR="00D00686" w:rsidRPr="0099038E" w:rsidRDefault="00D00686" w:rsidP="00713588">
            <w:pPr>
              <w:spacing w:line="360" w:lineRule="auto"/>
              <w:jc w:val="center"/>
              <w:rPr>
                <w:rFonts w:ascii="Century" w:hAnsi="Century"/>
                <w:sz w:val="16"/>
                <w:szCs w:val="16"/>
              </w:rPr>
            </w:pPr>
          </w:p>
        </w:tc>
        <w:tc>
          <w:tcPr>
            <w:tcW w:w="374" w:type="pct"/>
            <w:vAlign w:val="center"/>
          </w:tcPr>
          <w:p w:rsidR="00D00686" w:rsidRPr="0099038E" w:rsidRDefault="00451BDA" w:rsidP="00713588">
            <w:pPr>
              <w:spacing w:line="360" w:lineRule="auto"/>
              <w:jc w:val="center"/>
              <w:rPr>
                <w:rFonts w:ascii="Century" w:hAnsi="Century"/>
                <w:sz w:val="16"/>
                <w:szCs w:val="16"/>
              </w:rPr>
            </w:pPr>
            <w:r w:rsidRPr="0099038E">
              <w:rPr>
                <w:rFonts w:ascii="Century" w:hAnsi="Century"/>
                <w:sz w:val="16"/>
                <w:szCs w:val="16"/>
              </w:rPr>
              <w:t>X</w:t>
            </w:r>
          </w:p>
        </w:tc>
        <w:tc>
          <w:tcPr>
            <w:tcW w:w="618" w:type="pct"/>
            <w:vAlign w:val="center"/>
          </w:tcPr>
          <w:p w:rsidR="00D00686" w:rsidRPr="0099038E" w:rsidRDefault="00D00686" w:rsidP="00713588">
            <w:pPr>
              <w:spacing w:line="360" w:lineRule="auto"/>
              <w:jc w:val="center"/>
              <w:rPr>
                <w:rFonts w:ascii="Century" w:hAnsi="Century"/>
                <w:sz w:val="16"/>
                <w:szCs w:val="16"/>
              </w:rPr>
            </w:pPr>
          </w:p>
        </w:tc>
        <w:tc>
          <w:tcPr>
            <w:tcW w:w="373" w:type="pct"/>
            <w:vAlign w:val="center"/>
          </w:tcPr>
          <w:p w:rsidR="00D00686" w:rsidRPr="0099038E" w:rsidRDefault="00D00686" w:rsidP="00713588">
            <w:pPr>
              <w:spacing w:line="360" w:lineRule="auto"/>
              <w:jc w:val="center"/>
              <w:rPr>
                <w:rFonts w:ascii="Century" w:hAnsi="Century"/>
                <w:sz w:val="16"/>
                <w:szCs w:val="16"/>
              </w:rPr>
            </w:pPr>
          </w:p>
        </w:tc>
        <w:tc>
          <w:tcPr>
            <w:tcW w:w="373" w:type="pct"/>
            <w:vAlign w:val="center"/>
          </w:tcPr>
          <w:p w:rsidR="00D00686" w:rsidRPr="0099038E" w:rsidRDefault="00D00686" w:rsidP="00713588">
            <w:pPr>
              <w:spacing w:line="360" w:lineRule="auto"/>
              <w:jc w:val="center"/>
              <w:rPr>
                <w:rFonts w:ascii="Century" w:hAnsi="Century"/>
                <w:sz w:val="16"/>
                <w:szCs w:val="16"/>
              </w:rPr>
            </w:pPr>
          </w:p>
        </w:tc>
        <w:tc>
          <w:tcPr>
            <w:tcW w:w="524" w:type="pct"/>
            <w:vAlign w:val="center"/>
          </w:tcPr>
          <w:p w:rsidR="00D00686" w:rsidRPr="0099038E" w:rsidRDefault="00451BDA" w:rsidP="00713588">
            <w:pPr>
              <w:spacing w:line="360" w:lineRule="auto"/>
              <w:jc w:val="center"/>
              <w:rPr>
                <w:rFonts w:ascii="Century" w:hAnsi="Century"/>
                <w:sz w:val="16"/>
                <w:szCs w:val="16"/>
              </w:rPr>
            </w:pPr>
            <w:r w:rsidRPr="0099038E">
              <w:rPr>
                <w:rFonts w:ascii="Century" w:hAnsi="Century"/>
                <w:sz w:val="16"/>
                <w:szCs w:val="16"/>
              </w:rPr>
              <w:t>X</w:t>
            </w:r>
          </w:p>
        </w:tc>
        <w:tc>
          <w:tcPr>
            <w:tcW w:w="373" w:type="pct"/>
            <w:vAlign w:val="center"/>
          </w:tcPr>
          <w:p w:rsidR="00D00686" w:rsidRPr="0099038E" w:rsidRDefault="00D00686" w:rsidP="00713588">
            <w:pPr>
              <w:spacing w:line="360" w:lineRule="auto"/>
              <w:jc w:val="center"/>
              <w:rPr>
                <w:rFonts w:ascii="Century" w:hAnsi="Century"/>
                <w:sz w:val="16"/>
                <w:szCs w:val="16"/>
              </w:rPr>
            </w:pPr>
          </w:p>
        </w:tc>
        <w:tc>
          <w:tcPr>
            <w:tcW w:w="225" w:type="pct"/>
            <w:vAlign w:val="center"/>
          </w:tcPr>
          <w:p w:rsidR="00D00686" w:rsidRPr="0099038E" w:rsidRDefault="00D00686" w:rsidP="00713588">
            <w:pPr>
              <w:spacing w:line="360" w:lineRule="auto"/>
              <w:jc w:val="center"/>
              <w:rPr>
                <w:rFonts w:ascii="Century" w:hAnsi="Century"/>
                <w:sz w:val="16"/>
                <w:szCs w:val="16"/>
              </w:rPr>
            </w:pPr>
          </w:p>
        </w:tc>
        <w:tc>
          <w:tcPr>
            <w:tcW w:w="223" w:type="pct"/>
            <w:tcBorders>
              <w:right w:val="single" w:sz="4" w:space="0" w:color="auto"/>
            </w:tcBorders>
            <w:vAlign w:val="center"/>
          </w:tcPr>
          <w:p w:rsidR="00D00686" w:rsidRPr="0099038E" w:rsidRDefault="00D00686" w:rsidP="00713588">
            <w:pPr>
              <w:spacing w:line="360" w:lineRule="auto"/>
              <w:jc w:val="center"/>
              <w:rPr>
                <w:rFonts w:ascii="Century" w:hAnsi="Century"/>
                <w:sz w:val="16"/>
                <w:szCs w:val="16"/>
              </w:rPr>
            </w:pPr>
          </w:p>
        </w:tc>
      </w:tr>
      <w:tr w:rsidR="00451BDA" w:rsidRPr="0099038E" w:rsidTr="00451BDA">
        <w:trPr>
          <w:jc w:val="center"/>
        </w:trPr>
        <w:tc>
          <w:tcPr>
            <w:tcW w:w="826" w:type="pct"/>
            <w:gridSpan w:val="2"/>
            <w:vAlign w:val="center"/>
          </w:tcPr>
          <w:p w:rsidR="00D00686" w:rsidRPr="0099038E" w:rsidRDefault="00823964" w:rsidP="00713588">
            <w:pPr>
              <w:spacing w:line="360" w:lineRule="auto"/>
              <w:jc w:val="center"/>
              <w:rPr>
                <w:rFonts w:ascii="Century" w:hAnsi="Century"/>
                <w:b/>
                <w:sz w:val="18"/>
                <w:szCs w:val="18"/>
              </w:rPr>
            </w:pPr>
            <w:r w:rsidRPr="0099038E">
              <w:rPr>
                <w:rFonts w:ascii="Century" w:hAnsi="Century"/>
                <w:b/>
                <w:sz w:val="18"/>
                <w:szCs w:val="18"/>
              </w:rPr>
              <w:t>País Vasco</w:t>
            </w:r>
            <w:r w:rsidRPr="0099038E">
              <w:rPr>
                <w:rFonts w:ascii="Century" w:hAnsi="Century" w:cs="Calibri"/>
                <w:b/>
                <w:sz w:val="18"/>
                <w:szCs w:val="18"/>
              </w:rPr>
              <w:t>:</w:t>
            </w:r>
          </w:p>
          <w:p w:rsidR="00823964" w:rsidRPr="0099038E" w:rsidRDefault="00823964" w:rsidP="00713588">
            <w:pPr>
              <w:spacing w:line="360" w:lineRule="auto"/>
              <w:jc w:val="center"/>
              <w:rPr>
                <w:rFonts w:ascii="Century" w:hAnsi="Century"/>
                <w:b/>
                <w:sz w:val="18"/>
                <w:szCs w:val="18"/>
              </w:rPr>
            </w:pPr>
            <w:r w:rsidRPr="0099038E">
              <w:rPr>
                <w:rFonts w:ascii="Century" w:hAnsi="Century"/>
                <w:b/>
                <w:sz w:val="18"/>
                <w:szCs w:val="18"/>
              </w:rPr>
              <w:t>Álava</w:t>
            </w:r>
          </w:p>
          <w:p w:rsidR="00823964" w:rsidRPr="0099038E" w:rsidRDefault="00823964" w:rsidP="00713588">
            <w:pPr>
              <w:spacing w:line="360" w:lineRule="auto"/>
              <w:jc w:val="center"/>
              <w:rPr>
                <w:rFonts w:ascii="Century" w:hAnsi="Century"/>
                <w:b/>
                <w:sz w:val="18"/>
                <w:szCs w:val="18"/>
              </w:rPr>
            </w:pPr>
            <w:r w:rsidRPr="0099038E">
              <w:rPr>
                <w:rFonts w:ascii="Century" w:hAnsi="Century"/>
                <w:b/>
                <w:sz w:val="18"/>
                <w:szCs w:val="18"/>
              </w:rPr>
              <w:t>Guipúzcoa</w:t>
            </w:r>
          </w:p>
          <w:p w:rsidR="00823964" w:rsidRPr="0099038E" w:rsidRDefault="00823964" w:rsidP="00713588">
            <w:pPr>
              <w:spacing w:line="360" w:lineRule="auto"/>
              <w:jc w:val="center"/>
              <w:rPr>
                <w:rFonts w:ascii="Century" w:hAnsi="Century"/>
                <w:b/>
                <w:sz w:val="18"/>
                <w:szCs w:val="18"/>
              </w:rPr>
            </w:pPr>
            <w:r w:rsidRPr="0099038E">
              <w:rPr>
                <w:rFonts w:ascii="Century" w:hAnsi="Century"/>
                <w:b/>
                <w:sz w:val="18"/>
                <w:szCs w:val="18"/>
              </w:rPr>
              <w:t>Vizcaya</w:t>
            </w:r>
          </w:p>
        </w:tc>
        <w:tc>
          <w:tcPr>
            <w:tcW w:w="479" w:type="pct"/>
            <w:vAlign w:val="center"/>
          </w:tcPr>
          <w:p w:rsidR="00D00686" w:rsidRPr="0099038E" w:rsidRDefault="00D00686" w:rsidP="00713588">
            <w:pPr>
              <w:spacing w:line="360" w:lineRule="auto"/>
              <w:jc w:val="center"/>
              <w:rPr>
                <w:rFonts w:ascii="Century" w:hAnsi="Century"/>
                <w:sz w:val="16"/>
                <w:szCs w:val="16"/>
              </w:rPr>
            </w:pPr>
          </w:p>
          <w:p w:rsidR="00560236" w:rsidRPr="0099038E" w:rsidRDefault="00451BDA" w:rsidP="00713588">
            <w:pPr>
              <w:spacing w:line="360" w:lineRule="auto"/>
              <w:jc w:val="center"/>
              <w:rPr>
                <w:rFonts w:ascii="Century" w:hAnsi="Century"/>
                <w:sz w:val="16"/>
                <w:szCs w:val="16"/>
              </w:rPr>
            </w:pPr>
            <w:r w:rsidRPr="0099038E">
              <w:rPr>
                <w:rFonts w:ascii="Century" w:hAnsi="Century"/>
                <w:sz w:val="16"/>
                <w:szCs w:val="16"/>
              </w:rPr>
              <w:t>X</w:t>
            </w:r>
          </w:p>
          <w:p w:rsidR="00560236" w:rsidRPr="0099038E" w:rsidRDefault="00451BDA" w:rsidP="00713588">
            <w:pPr>
              <w:spacing w:line="360" w:lineRule="auto"/>
              <w:jc w:val="center"/>
              <w:rPr>
                <w:rFonts w:ascii="Century" w:hAnsi="Century"/>
                <w:sz w:val="16"/>
                <w:szCs w:val="16"/>
              </w:rPr>
            </w:pPr>
            <w:r w:rsidRPr="0099038E">
              <w:rPr>
                <w:rFonts w:ascii="Century" w:hAnsi="Century"/>
                <w:sz w:val="16"/>
                <w:szCs w:val="16"/>
              </w:rPr>
              <w:t>X</w:t>
            </w:r>
          </w:p>
          <w:p w:rsidR="00560236" w:rsidRPr="0099038E" w:rsidRDefault="00451BDA" w:rsidP="00713588">
            <w:pPr>
              <w:spacing w:line="360" w:lineRule="auto"/>
              <w:jc w:val="center"/>
              <w:rPr>
                <w:rFonts w:ascii="Century" w:hAnsi="Century"/>
                <w:sz w:val="16"/>
                <w:szCs w:val="16"/>
              </w:rPr>
            </w:pPr>
            <w:r w:rsidRPr="0099038E">
              <w:rPr>
                <w:rFonts w:ascii="Century" w:hAnsi="Century"/>
                <w:sz w:val="16"/>
                <w:szCs w:val="16"/>
              </w:rPr>
              <w:t>X</w:t>
            </w:r>
          </w:p>
        </w:tc>
        <w:tc>
          <w:tcPr>
            <w:tcW w:w="373" w:type="pct"/>
            <w:vAlign w:val="center"/>
          </w:tcPr>
          <w:p w:rsidR="00560236" w:rsidRPr="0099038E" w:rsidRDefault="00560236" w:rsidP="00713588">
            <w:pPr>
              <w:spacing w:line="360" w:lineRule="auto"/>
              <w:jc w:val="center"/>
              <w:rPr>
                <w:rFonts w:ascii="Century" w:hAnsi="Century"/>
                <w:sz w:val="16"/>
                <w:szCs w:val="16"/>
              </w:rPr>
            </w:pPr>
          </w:p>
          <w:p w:rsidR="00D00686" w:rsidRPr="0099038E" w:rsidRDefault="00451BDA" w:rsidP="00713588">
            <w:pPr>
              <w:spacing w:line="360" w:lineRule="auto"/>
              <w:jc w:val="center"/>
              <w:rPr>
                <w:rFonts w:ascii="Century" w:hAnsi="Century"/>
                <w:sz w:val="16"/>
                <w:szCs w:val="16"/>
              </w:rPr>
            </w:pPr>
            <w:r w:rsidRPr="0099038E">
              <w:rPr>
                <w:rFonts w:ascii="Century" w:hAnsi="Century"/>
                <w:sz w:val="16"/>
                <w:szCs w:val="16"/>
              </w:rPr>
              <w:t>X</w:t>
            </w:r>
          </w:p>
          <w:p w:rsidR="00560236" w:rsidRPr="0099038E" w:rsidRDefault="00451BDA" w:rsidP="00713588">
            <w:pPr>
              <w:spacing w:line="360" w:lineRule="auto"/>
              <w:jc w:val="center"/>
              <w:rPr>
                <w:rFonts w:ascii="Century" w:hAnsi="Century"/>
                <w:sz w:val="16"/>
                <w:szCs w:val="16"/>
              </w:rPr>
            </w:pPr>
            <w:r w:rsidRPr="0099038E">
              <w:rPr>
                <w:rFonts w:ascii="Century" w:hAnsi="Century"/>
                <w:sz w:val="16"/>
                <w:szCs w:val="16"/>
              </w:rPr>
              <w:t>X</w:t>
            </w:r>
          </w:p>
          <w:p w:rsidR="00560236" w:rsidRPr="0099038E" w:rsidRDefault="00451BDA" w:rsidP="00713588">
            <w:pPr>
              <w:spacing w:line="360" w:lineRule="auto"/>
              <w:jc w:val="center"/>
              <w:rPr>
                <w:rFonts w:ascii="Century" w:hAnsi="Century"/>
                <w:sz w:val="16"/>
                <w:szCs w:val="16"/>
              </w:rPr>
            </w:pPr>
            <w:r w:rsidRPr="0099038E">
              <w:rPr>
                <w:rFonts w:ascii="Century" w:hAnsi="Century"/>
                <w:sz w:val="16"/>
                <w:szCs w:val="16"/>
              </w:rPr>
              <w:t>X</w:t>
            </w:r>
          </w:p>
        </w:tc>
        <w:tc>
          <w:tcPr>
            <w:tcW w:w="240" w:type="pct"/>
            <w:vAlign w:val="center"/>
          </w:tcPr>
          <w:p w:rsidR="00560236" w:rsidRPr="0099038E" w:rsidRDefault="00560236" w:rsidP="00713588">
            <w:pPr>
              <w:spacing w:line="360" w:lineRule="auto"/>
              <w:jc w:val="center"/>
              <w:rPr>
                <w:rFonts w:ascii="Century" w:hAnsi="Century"/>
                <w:sz w:val="16"/>
                <w:szCs w:val="16"/>
              </w:rPr>
            </w:pPr>
          </w:p>
          <w:p w:rsidR="00D00686" w:rsidRPr="0099038E" w:rsidRDefault="00451BDA" w:rsidP="00713588">
            <w:pPr>
              <w:spacing w:line="360" w:lineRule="auto"/>
              <w:jc w:val="center"/>
              <w:rPr>
                <w:rFonts w:ascii="Century" w:hAnsi="Century"/>
                <w:sz w:val="16"/>
                <w:szCs w:val="16"/>
              </w:rPr>
            </w:pPr>
            <w:r w:rsidRPr="0099038E">
              <w:rPr>
                <w:rFonts w:ascii="Century" w:hAnsi="Century"/>
                <w:sz w:val="16"/>
                <w:szCs w:val="16"/>
              </w:rPr>
              <w:t>X</w:t>
            </w:r>
          </w:p>
          <w:p w:rsidR="00560236" w:rsidRPr="0099038E" w:rsidRDefault="00451BDA" w:rsidP="00713588">
            <w:pPr>
              <w:spacing w:line="360" w:lineRule="auto"/>
              <w:jc w:val="center"/>
              <w:rPr>
                <w:rFonts w:ascii="Century" w:hAnsi="Century"/>
                <w:sz w:val="16"/>
                <w:szCs w:val="16"/>
              </w:rPr>
            </w:pPr>
            <w:r w:rsidRPr="0099038E">
              <w:rPr>
                <w:rFonts w:ascii="Century" w:hAnsi="Century"/>
                <w:sz w:val="16"/>
                <w:szCs w:val="16"/>
              </w:rPr>
              <w:t>X</w:t>
            </w:r>
          </w:p>
          <w:p w:rsidR="00560236" w:rsidRPr="0099038E" w:rsidRDefault="00451BDA" w:rsidP="00713588">
            <w:pPr>
              <w:spacing w:line="360" w:lineRule="auto"/>
              <w:jc w:val="center"/>
              <w:rPr>
                <w:rFonts w:ascii="Century" w:hAnsi="Century"/>
                <w:sz w:val="16"/>
                <w:szCs w:val="16"/>
              </w:rPr>
            </w:pPr>
            <w:r w:rsidRPr="0099038E">
              <w:rPr>
                <w:rFonts w:ascii="Century" w:hAnsi="Century"/>
                <w:sz w:val="16"/>
                <w:szCs w:val="16"/>
              </w:rPr>
              <w:t>X</w:t>
            </w:r>
          </w:p>
        </w:tc>
        <w:tc>
          <w:tcPr>
            <w:tcW w:w="374" w:type="pct"/>
            <w:vAlign w:val="center"/>
          </w:tcPr>
          <w:p w:rsidR="00560236" w:rsidRPr="0099038E" w:rsidRDefault="00560236" w:rsidP="00713588">
            <w:pPr>
              <w:spacing w:line="360" w:lineRule="auto"/>
              <w:jc w:val="center"/>
              <w:rPr>
                <w:rFonts w:ascii="Century" w:hAnsi="Century"/>
                <w:sz w:val="16"/>
                <w:szCs w:val="16"/>
              </w:rPr>
            </w:pPr>
          </w:p>
          <w:p w:rsidR="00D00686" w:rsidRPr="0099038E" w:rsidRDefault="00451BDA" w:rsidP="00713588">
            <w:pPr>
              <w:spacing w:line="360" w:lineRule="auto"/>
              <w:jc w:val="center"/>
              <w:rPr>
                <w:rFonts w:ascii="Century" w:hAnsi="Century"/>
                <w:sz w:val="16"/>
                <w:szCs w:val="16"/>
              </w:rPr>
            </w:pPr>
            <w:r w:rsidRPr="0099038E">
              <w:rPr>
                <w:rFonts w:ascii="Century" w:hAnsi="Century"/>
                <w:sz w:val="16"/>
                <w:szCs w:val="16"/>
              </w:rPr>
              <w:t>X</w:t>
            </w:r>
          </w:p>
          <w:p w:rsidR="00560236" w:rsidRPr="0099038E" w:rsidRDefault="00451BDA" w:rsidP="00713588">
            <w:pPr>
              <w:spacing w:line="360" w:lineRule="auto"/>
              <w:jc w:val="center"/>
              <w:rPr>
                <w:rFonts w:ascii="Century" w:hAnsi="Century"/>
                <w:sz w:val="16"/>
                <w:szCs w:val="16"/>
              </w:rPr>
            </w:pPr>
            <w:r w:rsidRPr="0099038E">
              <w:rPr>
                <w:rFonts w:ascii="Century" w:hAnsi="Century"/>
                <w:sz w:val="16"/>
                <w:szCs w:val="16"/>
              </w:rPr>
              <w:t>X</w:t>
            </w:r>
          </w:p>
          <w:p w:rsidR="00560236" w:rsidRPr="0099038E" w:rsidRDefault="00451BDA" w:rsidP="00713588">
            <w:pPr>
              <w:spacing w:line="360" w:lineRule="auto"/>
              <w:jc w:val="center"/>
              <w:rPr>
                <w:rFonts w:ascii="Century" w:hAnsi="Century"/>
                <w:sz w:val="16"/>
                <w:szCs w:val="16"/>
              </w:rPr>
            </w:pPr>
            <w:r w:rsidRPr="0099038E">
              <w:rPr>
                <w:rFonts w:ascii="Century" w:hAnsi="Century"/>
                <w:sz w:val="16"/>
                <w:szCs w:val="16"/>
              </w:rPr>
              <w:t>X</w:t>
            </w:r>
          </w:p>
        </w:tc>
        <w:tc>
          <w:tcPr>
            <w:tcW w:w="618" w:type="pct"/>
            <w:vAlign w:val="center"/>
          </w:tcPr>
          <w:p w:rsidR="00560236" w:rsidRPr="0099038E" w:rsidRDefault="00560236" w:rsidP="00713588">
            <w:pPr>
              <w:spacing w:line="360" w:lineRule="auto"/>
              <w:jc w:val="center"/>
              <w:rPr>
                <w:rFonts w:ascii="Century" w:hAnsi="Century"/>
                <w:sz w:val="16"/>
                <w:szCs w:val="16"/>
              </w:rPr>
            </w:pPr>
          </w:p>
          <w:p w:rsidR="00D00686" w:rsidRPr="0099038E" w:rsidRDefault="00451BDA" w:rsidP="00713588">
            <w:pPr>
              <w:spacing w:line="360" w:lineRule="auto"/>
              <w:jc w:val="center"/>
              <w:rPr>
                <w:rFonts w:ascii="Century" w:hAnsi="Century"/>
                <w:sz w:val="16"/>
                <w:szCs w:val="16"/>
              </w:rPr>
            </w:pPr>
            <w:r w:rsidRPr="0099038E">
              <w:rPr>
                <w:rFonts w:ascii="Century" w:hAnsi="Century"/>
                <w:sz w:val="16"/>
                <w:szCs w:val="16"/>
              </w:rPr>
              <w:t>X</w:t>
            </w:r>
          </w:p>
          <w:p w:rsidR="00560236" w:rsidRPr="0099038E" w:rsidRDefault="00451BDA" w:rsidP="00713588">
            <w:pPr>
              <w:spacing w:line="360" w:lineRule="auto"/>
              <w:jc w:val="center"/>
              <w:rPr>
                <w:rFonts w:ascii="Century" w:hAnsi="Century"/>
                <w:sz w:val="16"/>
                <w:szCs w:val="16"/>
              </w:rPr>
            </w:pPr>
            <w:r w:rsidRPr="0099038E">
              <w:rPr>
                <w:rFonts w:ascii="Century" w:hAnsi="Century"/>
                <w:sz w:val="16"/>
                <w:szCs w:val="16"/>
              </w:rPr>
              <w:t>X</w:t>
            </w:r>
          </w:p>
          <w:p w:rsidR="00560236" w:rsidRPr="0099038E" w:rsidRDefault="00451BDA" w:rsidP="00713588">
            <w:pPr>
              <w:spacing w:line="360" w:lineRule="auto"/>
              <w:jc w:val="center"/>
              <w:rPr>
                <w:rFonts w:ascii="Century" w:hAnsi="Century"/>
                <w:sz w:val="16"/>
                <w:szCs w:val="16"/>
              </w:rPr>
            </w:pPr>
            <w:r w:rsidRPr="0099038E">
              <w:rPr>
                <w:rFonts w:ascii="Century" w:hAnsi="Century"/>
                <w:sz w:val="16"/>
                <w:szCs w:val="16"/>
              </w:rPr>
              <w:t>X</w:t>
            </w:r>
          </w:p>
        </w:tc>
        <w:tc>
          <w:tcPr>
            <w:tcW w:w="373" w:type="pct"/>
            <w:vAlign w:val="center"/>
          </w:tcPr>
          <w:p w:rsidR="00D00686" w:rsidRPr="0099038E" w:rsidRDefault="00D00686" w:rsidP="00713588">
            <w:pPr>
              <w:spacing w:line="360" w:lineRule="auto"/>
              <w:jc w:val="center"/>
              <w:rPr>
                <w:rFonts w:ascii="Century" w:hAnsi="Century"/>
                <w:sz w:val="16"/>
                <w:szCs w:val="16"/>
              </w:rPr>
            </w:pPr>
          </w:p>
        </w:tc>
        <w:tc>
          <w:tcPr>
            <w:tcW w:w="373" w:type="pct"/>
            <w:vAlign w:val="center"/>
          </w:tcPr>
          <w:p w:rsidR="00D00686" w:rsidRPr="0099038E" w:rsidRDefault="00D00686" w:rsidP="00713588">
            <w:pPr>
              <w:spacing w:line="360" w:lineRule="auto"/>
              <w:jc w:val="center"/>
              <w:rPr>
                <w:rFonts w:ascii="Century" w:hAnsi="Century"/>
                <w:sz w:val="16"/>
                <w:szCs w:val="16"/>
              </w:rPr>
            </w:pPr>
          </w:p>
          <w:p w:rsidR="00560236" w:rsidRPr="0099038E" w:rsidRDefault="00560236" w:rsidP="00713588">
            <w:pPr>
              <w:spacing w:line="360" w:lineRule="auto"/>
              <w:jc w:val="center"/>
              <w:rPr>
                <w:rFonts w:ascii="Century" w:hAnsi="Century"/>
                <w:sz w:val="16"/>
                <w:szCs w:val="16"/>
              </w:rPr>
            </w:pPr>
          </w:p>
          <w:p w:rsidR="00560236" w:rsidRPr="0099038E" w:rsidRDefault="00560236" w:rsidP="00713588">
            <w:pPr>
              <w:spacing w:line="360" w:lineRule="auto"/>
              <w:jc w:val="center"/>
              <w:rPr>
                <w:rFonts w:ascii="Century" w:hAnsi="Century"/>
                <w:sz w:val="16"/>
                <w:szCs w:val="16"/>
              </w:rPr>
            </w:pPr>
          </w:p>
          <w:p w:rsidR="00560236" w:rsidRPr="0099038E" w:rsidRDefault="00451BDA" w:rsidP="00713588">
            <w:pPr>
              <w:spacing w:line="360" w:lineRule="auto"/>
              <w:jc w:val="center"/>
              <w:rPr>
                <w:rFonts w:ascii="Century" w:hAnsi="Century"/>
                <w:sz w:val="16"/>
                <w:szCs w:val="16"/>
              </w:rPr>
            </w:pPr>
            <w:r w:rsidRPr="0099038E">
              <w:rPr>
                <w:rFonts w:ascii="Century" w:hAnsi="Century"/>
                <w:sz w:val="16"/>
                <w:szCs w:val="16"/>
              </w:rPr>
              <w:t>X</w:t>
            </w:r>
          </w:p>
        </w:tc>
        <w:tc>
          <w:tcPr>
            <w:tcW w:w="524" w:type="pct"/>
            <w:vAlign w:val="center"/>
          </w:tcPr>
          <w:p w:rsidR="00D00686" w:rsidRPr="0099038E" w:rsidRDefault="00D00686" w:rsidP="00713588">
            <w:pPr>
              <w:spacing w:line="360" w:lineRule="auto"/>
              <w:jc w:val="center"/>
              <w:rPr>
                <w:rFonts w:ascii="Century" w:hAnsi="Century"/>
                <w:sz w:val="16"/>
                <w:szCs w:val="16"/>
              </w:rPr>
            </w:pPr>
          </w:p>
        </w:tc>
        <w:tc>
          <w:tcPr>
            <w:tcW w:w="373" w:type="pct"/>
            <w:vAlign w:val="center"/>
          </w:tcPr>
          <w:p w:rsidR="00D00686" w:rsidRPr="0099038E" w:rsidRDefault="00D00686" w:rsidP="00713588">
            <w:pPr>
              <w:spacing w:line="360" w:lineRule="auto"/>
              <w:jc w:val="center"/>
              <w:rPr>
                <w:rFonts w:ascii="Century" w:hAnsi="Century"/>
                <w:sz w:val="16"/>
                <w:szCs w:val="16"/>
              </w:rPr>
            </w:pPr>
          </w:p>
        </w:tc>
        <w:tc>
          <w:tcPr>
            <w:tcW w:w="225" w:type="pct"/>
            <w:vAlign w:val="center"/>
          </w:tcPr>
          <w:p w:rsidR="00D00686" w:rsidRPr="0099038E" w:rsidRDefault="00D00686" w:rsidP="00713588">
            <w:pPr>
              <w:spacing w:line="360" w:lineRule="auto"/>
              <w:jc w:val="center"/>
              <w:rPr>
                <w:rFonts w:ascii="Century" w:hAnsi="Century"/>
                <w:sz w:val="16"/>
                <w:szCs w:val="16"/>
              </w:rPr>
            </w:pPr>
          </w:p>
        </w:tc>
        <w:tc>
          <w:tcPr>
            <w:tcW w:w="223" w:type="pct"/>
            <w:tcBorders>
              <w:right w:val="single" w:sz="4" w:space="0" w:color="auto"/>
            </w:tcBorders>
            <w:vAlign w:val="center"/>
          </w:tcPr>
          <w:p w:rsidR="00D00686" w:rsidRPr="0099038E" w:rsidRDefault="00D00686" w:rsidP="00713588">
            <w:pPr>
              <w:spacing w:line="360" w:lineRule="auto"/>
              <w:jc w:val="center"/>
              <w:rPr>
                <w:rFonts w:ascii="Century" w:hAnsi="Century"/>
                <w:sz w:val="16"/>
                <w:szCs w:val="16"/>
              </w:rPr>
            </w:pPr>
          </w:p>
        </w:tc>
      </w:tr>
      <w:tr w:rsidR="00451BDA" w:rsidRPr="0099038E" w:rsidTr="00451BDA">
        <w:trPr>
          <w:jc w:val="center"/>
        </w:trPr>
        <w:tc>
          <w:tcPr>
            <w:tcW w:w="826" w:type="pct"/>
            <w:gridSpan w:val="2"/>
            <w:vAlign w:val="center"/>
          </w:tcPr>
          <w:p w:rsidR="00D00686" w:rsidRPr="0099038E" w:rsidRDefault="00B04180" w:rsidP="00713588">
            <w:pPr>
              <w:spacing w:line="360" w:lineRule="auto"/>
              <w:jc w:val="center"/>
              <w:rPr>
                <w:rFonts w:ascii="Century" w:hAnsi="Century"/>
                <w:b/>
                <w:sz w:val="18"/>
                <w:szCs w:val="18"/>
              </w:rPr>
            </w:pPr>
            <w:r w:rsidRPr="0099038E">
              <w:rPr>
                <w:rFonts w:ascii="Century" w:hAnsi="Century"/>
                <w:b/>
                <w:sz w:val="18"/>
                <w:szCs w:val="18"/>
              </w:rPr>
              <w:t>ESTADO</w:t>
            </w:r>
          </w:p>
        </w:tc>
        <w:tc>
          <w:tcPr>
            <w:tcW w:w="479" w:type="pct"/>
            <w:vAlign w:val="center"/>
          </w:tcPr>
          <w:p w:rsidR="00D00686" w:rsidRPr="0099038E" w:rsidRDefault="00451BDA" w:rsidP="00713588">
            <w:pPr>
              <w:spacing w:line="360" w:lineRule="auto"/>
              <w:jc w:val="center"/>
              <w:rPr>
                <w:rFonts w:ascii="Century" w:hAnsi="Century"/>
                <w:sz w:val="16"/>
                <w:szCs w:val="16"/>
              </w:rPr>
            </w:pPr>
            <w:r w:rsidRPr="0099038E">
              <w:rPr>
                <w:rFonts w:ascii="Century" w:hAnsi="Century"/>
                <w:sz w:val="16"/>
                <w:szCs w:val="16"/>
              </w:rPr>
              <w:t>X</w:t>
            </w:r>
          </w:p>
        </w:tc>
        <w:tc>
          <w:tcPr>
            <w:tcW w:w="373" w:type="pct"/>
            <w:vAlign w:val="center"/>
          </w:tcPr>
          <w:p w:rsidR="00D00686" w:rsidRPr="0099038E" w:rsidRDefault="00451BDA" w:rsidP="00713588">
            <w:pPr>
              <w:spacing w:line="360" w:lineRule="auto"/>
              <w:jc w:val="center"/>
              <w:rPr>
                <w:rFonts w:ascii="Century" w:hAnsi="Century"/>
                <w:sz w:val="16"/>
                <w:szCs w:val="16"/>
              </w:rPr>
            </w:pPr>
            <w:r w:rsidRPr="0099038E">
              <w:rPr>
                <w:rFonts w:ascii="Century" w:hAnsi="Century"/>
                <w:sz w:val="16"/>
                <w:szCs w:val="16"/>
              </w:rPr>
              <w:t>X</w:t>
            </w:r>
          </w:p>
        </w:tc>
        <w:tc>
          <w:tcPr>
            <w:tcW w:w="240" w:type="pct"/>
            <w:vAlign w:val="center"/>
          </w:tcPr>
          <w:p w:rsidR="00D00686" w:rsidRPr="0099038E" w:rsidRDefault="00451BDA" w:rsidP="00713588">
            <w:pPr>
              <w:spacing w:line="360" w:lineRule="auto"/>
              <w:jc w:val="center"/>
              <w:rPr>
                <w:rFonts w:ascii="Century" w:hAnsi="Century"/>
                <w:sz w:val="16"/>
                <w:szCs w:val="16"/>
              </w:rPr>
            </w:pPr>
            <w:r w:rsidRPr="0099038E">
              <w:rPr>
                <w:rFonts w:ascii="Century" w:hAnsi="Century"/>
                <w:sz w:val="16"/>
                <w:szCs w:val="16"/>
              </w:rPr>
              <w:t>X</w:t>
            </w:r>
          </w:p>
        </w:tc>
        <w:tc>
          <w:tcPr>
            <w:tcW w:w="374" w:type="pct"/>
            <w:vAlign w:val="center"/>
          </w:tcPr>
          <w:p w:rsidR="00D00686" w:rsidRPr="0099038E" w:rsidRDefault="00451BDA" w:rsidP="00713588">
            <w:pPr>
              <w:spacing w:line="360" w:lineRule="auto"/>
              <w:jc w:val="center"/>
              <w:rPr>
                <w:rFonts w:ascii="Century" w:hAnsi="Century"/>
                <w:sz w:val="16"/>
                <w:szCs w:val="16"/>
              </w:rPr>
            </w:pPr>
            <w:r w:rsidRPr="0099038E">
              <w:rPr>
                <w:rFonts w:ascii="Century" w:hAnsi="Century"/>
                <w:sz w:val="16"/>
                <w:szCs w:val="16"/>
              </w:rPr>
              <w:t>X</w:t>
            </w:r>
          </w:p>
        </w:tc>
        <w:tc>
          <w:tcPr>
            <w:tcW w:w="618" w:type="pct"/>
            <w:vAlign w:val="center"/>
          </w:tcPr>
          <w:p w:rsidR="00D00686" w:rsidRPr="0099038E" w:rsidRDefault="00451BDA" w:rsidP="00713588">
            <w:pPr>
              <w:spacing w:line="360" w:lineRule="auto"/>
              <w:jc w:val="center"/>
              <w:rPr>
                <w:rFonts w:ascii="Century" w:hAnsi="Century"/>
                <w:sz w:val="16"/>
                <w:szCs w:val="16"/>
              </w:rPr>
            </w:pPr>
            <w:r w:rsidRPr="0099038E">
              <w:rPr>
                <w:rFonts w:ascii="Century" w:hAnsi="Century"/>
                <w:sz w:val="16"/>
                <w:szCs w:val="16"/>
              </w:rPr>
              <w:t>X</w:t>
            </w:r>
          </w:p>
        </w:tc>
        <w:tc>
          <w:tcPr>
            <w:tcW w:w="373" w:type="pct"/>
            <w:vAlign w:val="center"/>
          </w:tcPr>
          <w:p w:rsidR="00D00686" w:rsidRPr="0099038E" w:rsidRDefault="00D00686" w:rsidP="00713588">
            <w:pPr>
              <w:spacing w:line="360" w:lineRule="auto"/>
              <w:jc w:val="center"/>
              <w:rPr>
                <w:rFonts w:ascii="Century" w:hAnsi="Century"/>
                <w:sz w:val="16"/>
                <w:szCs w:val="16"/>
              </w:rPr>
            </w:pPr>
          </w:p>
        </w:tc>
        <w:tc>
          <w:tcPr>
            <w:tcW w:w="373" w:type="pct"/>
            <w:vAlign w:val="center"/>
          </w:tcPr>
          <w:p w:rsidR="00D00686" w:rsidRPr="0099038E" w:rsidRDefault="00D00686" w:rsidP="00713588">
            <w:pPr>
              <w:spacing w:line="360" w:lineRule="auto"/>
              <w:jc w:val="center"/>
              <w:rPr>
                <w:rFonts w:ascii="Century" w:hAnsi="Century"/>
                <w:sz w:val="16"/>
                <w:szCs w:val="16"/>
              </w:rPr>
            </w:pPr>
          </w:p>
        </w:tc>
        <w:tc>
          <w:tcPr>
            <w:tcW w:w="524" w:type="pct"/>
            <w:vAlign w:val="center"/>
          </w:tcPr>
          <w:p w:rsidR="00D00686" w:rsidRPr="0099038E" w:rsidRDefault="00451BDA" w:rsidP="00713588">
            <w:pPr>
              <w:spacing w:line="360" w:lineRule="auto"/>
              <w:jc w:val="center"/>
              <w:rPr>
                <w:rFonts w:ascii="Century" w:hAnsi="Century"/>
                <w:sz w:val="16"/>
                <w:szCs w:val="16"/>
              </w:rPr>
            </w:pPr>
            <w:r w:rsidRPr="0099038E">
              <w:rPr>
                <w:rFonts w:ascii="Century" w:hAnsi="Century"/>
                <w:sz w:val="16"/>
                <w:szCs w:val="16"/>
              </w:rPr>
              <w:t>X</w:t>
            </w:r>
          </w:p>
        </w:tc>
        <w:tc>
          <w:tcPr>
            <w:tcW w:w="373" w:type="pct"/>
            <w:vAlign w:val="center"/>
          </w:tcPr>
          <w:p w:rsidR="00D00686" w:rsidRPr="0099038E" w:rsidRDefault="00D00686" w:rsidP="00713588">
            <w:pPr>
              <w:spacing w:line="360" w:lineRule="auto"/>
              <w:jc w:val="center"/>
              <w:rPr>
                <w:rFonts w:ascii="Century" w:hAnsi="Century"/>
                <w:sz w:val="16"/>
                <w:szCs w:val="16"/>
              </w:rPr>
            </w:pPr>
          </w:p>
        </w:tc>
        <w:tc>
          <w:tcPr>
            <w:tcW w:w="225" w:type="pct"/>
            <w:vAlign w:val="center"/>
          </w:tcPr>
          <w:p w:rsidR="00D00686" w:rsidRPr="0099038E" w:rsidRDefault="00D00686" w:rsidP="00713588">
            <w:pPr>
              <w:spacing w:line="360" w:lineRule="auto"/>
              <w:jc w:val="center"/>
              <w:rPr>
                <w:rFonts w:ascii="Century" w:hAnsi="Century"/>
                <w:sz w:val="16"/>
                <w:szCs w:val="16"/>
              </w:rPr>
            </w:pPr>
          </w:p>
        </w:tc>
        <w:tc>
          <w:tcPr>
            <w:tcW w:w="223" w:type="pct"/>
            <w:tcBorders>
              <w:right w:val="single" w:sz="4" w:space="0" w:color="auto"/>
            </w:tcBorders>
            <w:vAlign w:val="center"/>
          </w:tcPr>
          <w:p w:rsidR="00D00686" w:rsidRPr="0099038E" w:rsidRDefault="00D00686" w:rsidP="00713588">
            <w:pPr>
              <w:spacing w:line="360" w:lineRule="auto"/>
              <w:jc w:val="center"/>
              <w:rPr>
                <w:rFonts w:ascii="Century" w:hAnsi="Century"/>
                <w:sz w:val="16"/>
                <w:szCs w:val="16"/>
              </w:rPr>
            </w:pPr>
          </w:p>
        </w:tc>
      </w:tr>
    </w:tbl>
    <w:p w:rsidR="00E8469A" w:rsidRDefault="00B04180" w:rsidP="006A5290">
      <w:pPr>
        <w:spacing w:after="240" w:line="360" w:lineRule="auto"/>
        <w:ind w:firstLine="708"/>
        <w:jc w:val="both"/>
        <w:rPr>
          <w:rFonts w:ascii="Century" w:hAnsi="Century"/>
          <w:sz w:val="24"/>
          <w:szCs w:val="24"/>
        </w:rPr>
      </w:pPr>
      <w:r>
        <w:rPr>
          <w:rFonts w:ascii="Century" w:hAnsi="Century"/>
          <w:sz w:val="24"/>
          <w:szCs w:val="24"/>
        </w:rPr>
        <w:lastRenderedPageBreak/>
        <w:t>De la</w:t>
      </w:r>
      <w:r w:rsidR="00DB54E9" w:rsidRPr="002C13F3">
        <w:rPr>
          <w:rFonts w:ascii="Century" w:hAnsi="Century"/>
          <w:sz w:val="24"/>
          <w:szCs w:val="24"/>
        </w:rPr>
        <w:t xml:space="preserve"> tabla podemos</w:t>
      </w:r>
      <w:r>
        <w:rPr>
          <w:rFonts w:ascii="Century" w:hAnsi="Century"/>
          <w:sz w:val="24"/>
          <w:szCs w:val="24"/>
        </w:rPr>
        <w:t xml:space="preserve"> extraer diversas conclusiones</w:t>
      </w:r>
      <w:r w:rsidR="00E8469A">
        <w:rPr>
          <w:rFonts w:ascii="Century" w:hAnsi="Century"/>
          <w:sz w:val="24"/>
          <w:szCs w:val="24"/>
        </w:rPr>
        <w:t>. C</w:t>
      </w:r>
      <w:r w:rsidR="00DB54E9" w:rsidRPr="002C13F3">
        <w:rPr>
          <w:rFonts w:ascii="Century" w:hAnsi="Century"/>
          <w:sz w:val="24"/>
          <w:szCs w:val="24"/>
        </w:rPr>
        <w:t>asi todas las CCAA, excepto Asturias, Castilla-La Mancha, La Rioja, Murcia y Navarra,</w:t>
      </w:r>
      <w:r w:rsidR="00E8469A">
        <w:rPr>
          <w:rFonts w:ascii="Century" w:hAnsi="Century"/>
          <w:sz w:val="24"/>
          <w:szCs w:val="24"/>
        </w:rPr>
        <w:t xml:space="preserve"> </w:t>
      </w:r>
      <w:r w:rsidR="00DB54E9" w:rsidRPr="002C13F3">
        <w:rPr>
          <w:rFonts w:ascii="Century" w:hAnsi="Century"/>
          <w:sz w:val="24"/>
          <w:szCs w:val="24"/>
        </w:rPr>
        <w:t>establecen unas reducciones a los parientes más directos</w:t>
      </w:r>
      <w:r w:rsidR="00DB54E9" w:rsidRPr="00514069">
        <w:rPr>
          <w:rFonts w:cstheme="minorHAnsi"/>
          <w:sz w:val="24"/>
          <w:szCs w:val="24"/>
        </w:rPr>
        <w:t>:</w:t>
      </w:r>
      <w:r w:rsidR="00DB54E9" w:rsidRPr="002C13F3">
        <w:rPr>
          <w:rFonts w:ascii="Century" w:hAnsi="Century"/>
          <w:sz w:val="24"/>
          <w:szCs w:val="24"/>
        </w:rPr>
        <w:t xml:space="preserve"> el cónyuge, </w:t>
      </w:r>
      <w:r w:rsidR="00710F69" w:rsidRPr="002C13F3">
        <w:rPr>
          <w:rFonts w:ascii="Century" w:hAnsi="Century"/>
          <w:sz w:val="24"/>
          <w:szCs w:val="24"/>
        </w:rPr>
        <w:t xml:space="preserve">descendientes o adoptados </w:t>
      </w:r>
      <w:r w:rsidR="00710F69">
        <w:rPr>
          <w:rFonts w:ascii="Century" w:hAnsi="Century"/>
          <w:sz w:val="24"/>
          <w:szCs w:val="24"/>
        </w:rPr>
        <w:t xml:space="preserve">y </w:t>
      </w:r>
      <w:r w:rsidR="00DB54E9" w:rsidRPr="002C13F3">
        <w:rPr>
          <w:rFonts w:ascii="Century" w:hAnsi="Century"/>
          <w:sz w:val="24"/>
          <w:szCs w:val="24"/>
        </w:rPr>
        <w:t>ascendientes o adoptantes.</w:t>
      </w:r>
      <w:r w:rsidR="00E8469A">
        <w:rPr>
          <w:rFonts w:ascii="Century" w:hAnsi="Century"/>
          <w:sz w:val="24"/>
          <w:szCs w:val="24"/>
        </w:rPr>
        <w:t xml:space="preserve"> A</w:t>
      </w:r>
      <w:r w:rsidR="00DB54E9" w:rsidRPr="002C13F3">
        <w:rPr>
          <w:rFonts w:ascii="Century" w:hAnsi="Century"/>
          <w:sz w:val="24"/>
          <w:szCs w:val="24"/>
        </w:rPr>
        <w:t xml:space="preserve">lgunas Comunidades han establecido también otras reducciones a parientes más lejanos. </w:t>
      </w:r>
      <w:r w:rsidR="00E8469A">
        <w:rPr>
          <w:rFonts w:ascii="Century" w:hAnsi="Century"/>
          <w:sz w:val="24"/>
          <w:szCs w:val="24"/>
        </w:rPr>
        <w:t>Veamos estas reducciones por CCAA.</w:t>
      </w:r>
    </w:p>
    <w:p w:rsidR="00E8469A" w:rsidRPr="00E8469A" w:rsidRDefault="00E8469A" w:rsidP="006A5290">
      <w:pPr>
        <w:spacing w:after="240" w:line="360" w:lineRule="auto"/>
        <w:ind w:firstLine="708"/>
        <w:jc w:val="both"/>
        <w:rPr>
          <w:rFonts w:ascii="Century" w:hAnsi="Century"/>
          <w:b/>
          <w:sz w:val="24"/>
          <w:szCs w:val="24"/>
        </w:rPr>
      </w:pPr>
      <w:r w:rsidRPr="00E8469A">
        <w:rPr>
          <w:rFonts w:ascii="Century" w:hAnsi="Century"/>
          <w:b/>
          <w:sz w:val="24"/>
          <w:szCs w:val="24"/>
        </w:rPr>
        <w:t>a.1. Por razón del vínculo familiar o circunstancias personales</w:t>
      </w:r>
    </w:p>
    <w:p w:rsidR="004A5FB8" w:rsidRPr="006834CD" w:rsidRDefault="006834CD" w:rsidP="006834CD">
      <w:pPr>
        <w:spacing w:line="360" w:lineRule="auto"/>
        <w:jc w:val="both"/>
        <w:rPr>
          <w:rFonts w:ascii="Century" w:hAnsi="Century" w:cs="Arial"/>
          <w:sz w:val="24"/>
          <w:szCs w:val="24"/>
        </w:rPr>
      </w:pPr>
      <w:r>
        <w:rPr>
          <w:rFonts w:ascii="Century" w:hAnsi="Century"/>
          <w:sz w:val="24"/>
          <w:szCs w:val="24"/>
        </w:rPr>
        <w:tab/>
      </w:r>
      <w:r w:rsidR="00E8469A" w:rsidRPr="006834CD">
        <w:rPr>
          <w:rFonts w:ascii="Century" w:hAnsi="Century"/>
          <w:sz w:val="24"/>
          <w:szCs w:val="24"/>
        </w:rPr>
        <w:t>Andalucía aplica</w:t>
      </w:r>
      <w:r w:rsidR="00DB54E9" w:rsidRPr="006834CD">
        <w:rPr>
          <w:rFonts w:ascii="Century" w:hAnsi="Century"/>
          <w:sz w:val="24"/>
          <w:szCs w:val="24"/>
        </w:rPr>
        <w:t xml:space="preserve"> una reducción</w:t>
      </w:r>
      <w:r w:rsidR="004A5FB8" w:rsidRPr="006834CD">
        <w:rPr>
          <w:rFonts w:ascii="Century" w:hAnsi="Century"/>
          <w:sz w:val="24"/>
          <w:szCs w:val="24"/>
        </w:rPr>
        <w:t xml:space="preserve"> para cónyuge y parientes directos por herencias</w:t>
      </w:r>
      <w:r w:rsidR="00DB54E9" w:rsidRPr="006834CD">
        <w:rPr>
          <w:rFonts w:ascii="Century" w:hAnsi="Century"/>
          <w:sz w:val="24"/>
          <w:szCs w:val="24"/>
        </w:rPr>
        <w:t xml:space="preserve"> en bases imponibles no superiores</w:t>
      </w:r>
      <w:r w:rsidR="00E8469A" w:rsidRPr="006834CD">
        <w:rPr>
          <w:rFonts w:ascii="Century" w:hAnsi="Century"/>
          <w:sz w:val="24"/>
          <w:szCs w:val="24"/>
        </w:rPr>
        <w:t xml:space="preserve"> a 250.000 euros, </w:t>
      </w:r>
      <w:r w:rsidR="004A5FB8" w:rsidRPr="006834CD">
        <w:rPr>
          <w:rFonts w:ascii="Century" w:hAnsi="Century"/>
          <w:sz w:val="24"/>
          <w:szCs w:val="24"/>
        </w:rPr>
        <w:t>consistente</w:t>
      </w:r>
      <w:r w:rsidR="00E8469A" w:rsidRPr="006834CD">
        <w:rPr>
          <w:rFonts w:ascii="Century" w:hAnsi="Century"/>
          <w:sz w:val="24"/>
          <w:szCs w:val="24"/>
        </w:rPr>
        <w:t xml:space="preserve"> en una cantidad variable</w:t>
      </w:r>
      <w:r w:rsidR="00DB54E9" w:rsidRPr="006834CD">
        <w:rPr>
          <w:rFonts w:ascii="Century" w:hAnsi="Century"/>
          <w:sz w:val="24"/>
          <w:szCs w:val="24"/>
        </w:rPr>
        <w:t xml:space="preserve">. </w:t>
      </w:r>
      <w:r w:rsidR="004A5FB8" w:rsidRPr="006834CD">
        <w:rPr>
          <w:rFonts w:ascii="Century" w:hAnsi="Century"/>
          <w:sz w:val="24"/>
          <w:szCs w:val="24"/>
        </w:rPr>
        <w:t>Y e</w:t>
      </w:r>
      <w:r w:rsidR="00DB54E9" w:rsidRPr="006834CD">
        <w:rPr>
          <w:rFonts w:ascii="Century" w:hAnsi="Century"/>
          <w:sz w:val="24"/>
          <w:szCs w:val="24"/>
        </w:rPr>
        <w:t>n el caso de bases imponibles comprendidas entre 250.000 euros y 350.000 euros, se aplicará una reducción propia que no podrá exceder de 200.000 euros</w:t>
      </w:r>
      <w:r w:rsidRPr="006834CD">
        <w:rPr>
          <w:rFonts w:ascii="Century" w:hAnsi="Century"/>
          <w:sz w:val="24"/>
          <w:szCs w:val="24"/>
        </w:rPr>
        <w:t xml:space="preserve">. </w:t>
      </w:r>
      <w:r w:rsidRPr="006834CD">
        <w:rPr>
          <w:rFonts w:ascii="Century" w:hAnsi="Century" w:cs="Arial"/>
          <w:sz w:val="24"/>
          <w:szCs w:val="24"/>
        </w:rPr>
        <w:t>El importe de esta reducción de la base imponible consistirá en una cantidad variable, cuya aplicación determine una base liquidable de importe cero</w:t>
      </w:r>
      <w:r w:rsidR="00123454" w:rsidRPr="006834CD">
        <w:rPr>
          <w:rStyle w:val="Refdenotaalpie"/>
          <w:rFonts w:ascii="Century" w:hAnsi="Century"/>
          <w:sz w:val="24"/>
          <w:szCs w:val="24"/>
        </w:rPr>
        <w:footnoteReference w:id="51"/>
      </w:r>
      <w:r w:rsidR="00DB54E9" w:rsidRPr="006834CD">
        <w:rPr>
          <w:rFonts w:ascii="Century" w:hAnsi="Century"/>
          <w:sz w:val="24"/>
          <w:szCs w:val="24"/>
        </w:rPr>
        <w:t>.</w:t>
      </w:r>
      <w:r w:rsidR="00E8469A" w:rsidRPr="006834CD">
        <w:rPr>
          <w:rFonts w:ascii="Century" w:hAnsi="Century"/>
          <w:sz w:val="24"/>
          <w:szCs w:val="24"/>
        </w:rPr>
        <w:t xml:space="preserve"> </w:t>
      </w:r>
    </w:p>
    <w:p w:rsidR="00DB54E9" w:rsidRPr="002C13F3" w:rsidRDefault="00DB54E9" w:rsidP="002D11BC">
      <w:pPr>
        <w:spacing w:after="240" w:line="360" w:lineRule="auto"/>
        <w:jc w:val="both"/>
        <w:rPr>
          <w:rFonts w:ascii="Century" w:eastAsia="Times New Roman" w:hAnsi="Century" w:cs="Times New Roman"/>
          <w:sz w:val="24"/>
          <w:szCs w:val="24"/>
        </w:rPr>
      </w:pPr>
      <w:r w:rsidRPr="002C13F3">
        <w:rPr>
          <w:rFonts w:ascii="Century" w:hAnsi="Century"/>
          <w:sz w:val="24"/>
          <w:szCs w:val="24"/>
        </w:rPr>
        <w:tab/>
        <w:t xml:space="preserve">En Aragón, </w:t>
      </w:r>
      <w:r w:rsidR="00E8469A">
        <w:rPr>
          <w:rFonts w:ascii="Century" w:hAnsi="Century"/>
          <w:sz w:val="24"/>
          <w:szCs w:val="24"/>
        </w:rPr>
        <w:t xml:space="preserve">se prevé </w:t>
      </w:r>
      <w:r w:rsidRPr="002C13F3">
        <w:rPr>
          <w:rFonts w:ascii="Century" w:hAnsi="Century"/>
          <w:sz w:val="24"/>
          <w:szCs w:val="24"/>
        </w:rPr>
        <w:t>una red</w:t>
      </w:r>
      <w:r w:rsidR="000E688B">
        <w:rPr>
          <w:rFonts w:ascii="Century" w:hAnsi="Century"/>
          <w:sz w:val="24"/>
          <w:szCs w:val="24"/>
        </w:rPr>
        <w:t>ucción del 100 por cien</w:t>
      </w:r>
      <w:r w:rsidRPr="002C13F3">
        <w:rPr>
          <w:rFonts w:ascii="Century" w:hAnsi="Century"/>
          <w:sz w:val="24"/>
          <w:szCs w:val="24"/>
        </w:rPr>
        <w:t xml:space="preserve"> de la base imponible sólo aplicable cuando el importe total del resto de reducciones de la base imponible sea inferior a 150.000 euros</w:t>
      </w:r>
      <w:r w:rsidRPr="00EC29FC">
        <w:rPr>
          <w:rFonts w:cstheme="minorHAnsi"/>
          <w:sz w:val="24"/>
          <w:szCs w:val="24"/>
        </w:rPr>
        <w:t>;</w:t>
      </w:r>
      <w:r w:rsidRPr="002C13F3">
        <w:rPr>
          <w:rFonts w:ascii="Century" w:hAnsi="Century"/>
          <w:sz w:val="24"/>
          <w:szCs w:val="24"/>
        </w:rPr>
        <w:t xml:space="preserve"> y el patrimonio preexistente de</w:t>
      </w:r>
      <w:r w:rsidR="00E8469A">
        <w:rPr>
          <w:rFonts w:ascii="Century" w:hAnsi="Century"/>
          <w:sz w:val="24"/>
          <w:szCs w:val="24"/>
        </w:rPr>
        <w:t>l</w:t>
      </w:r>
      <w:r w:rsidRPr="002C13F3">
        <w:rPr>
          <w:rFonts w:ascii="Century" w:hAnsi="Century"/>
          <w:sz w:val="24"/>
          <w:szCs w:val="24"/>
        </w:rPr>
        <w:t xml:space="preserve"> contribuyente no </w:t>
      </w:r>
      <w:r w:rsidR="00E8469A">
        <w:rPr>
          <w:rFonts w:ascii="Century" w:hAnsi="Century"/>
          <w:sz w:val="24"/>
          <w:szCs w:val="24"/>
        </w:rPr>
        <w:t>exceda</w:t>
      </w:r>
      <w:r w:rsidRPr="002C13F3">
        <w:rPr>
          <w:rFonts w:ascii="Century" w:hAnsi="Century"/>
          <w:sz w:val="24"/>
          <w:szCs w:val="24"/>
        </w:rPr>
        <w:t xml:space="preserve"> de </w:t>
      </w:r>
      <w:r w:rsidRPr="002C13F3">
        <w:rPr>
          <w:rFonts w:ascii="Century" w:eastAsia="Times New Roman" w:hAnsi="Century" w:cs="Times New Roman"/>
          <w:sz w:val="24"/>
          <w:szCs w:val="24"/>
        </w:rPr>
        <w:t xml:space="preserve">402.678,11 euros. En el supuesto de hijos </w:t>
      </w:r>
      <w:r w:rsidRPr="002C13F3">
        <w:rPr>
          <w:rFonts w:ascii="Century" w:eastAsia="Times New Roman" w:hAnsi="Century" w:cs="Times New Roman"/>
          <w:sz w:val="24"/>
          <w:szCs w:val="24"/>
        </w:rPr>
        <w:lastRenderedPageBreak/>
        <w:t>menores de edad, los dos límites anteriores se incrementarán en 150.000 euros por cada hijo menor de edad que conviva con dicho cónyuge.</w:t>
      </w:r>
    </w:p>
    <w:p w:rsidR="00DB54E9" w:rsidRPr="002C13F3" w:rsidRDefault="00DB54E9" w:rsidP="002D11BC">
      <w:pPr>
        <w:pStyle w:val="parrafo2"/>
        <w:spacing w:before="0" w:beforeAutospacing="0" w:after="240" w:afterAutospacing="0" w:line="360" w:lineRule="auto"/>
        <w:jc w:val="both"/>
        <w:rPr>
          <w:rFonts w:ascii="Century" w:hAnsi="Century"/>
        </w:rPr>
      </w:pPr>
      <w:r w:rsidRPr="002C13F3">
        <w:rPr>
          <w:rFonts w:ascii="Century" w:hAnsi="Century"/>
        </w:rPr>
        <w:tab/>
        <w:t>En Baleares, la reducción</w:t>
      </w:r>
      <w:r w:rsidR="00E8469A">
        <w:rPr>
          <w:rFonts w:ascii="Century" w:hAnsi="Century"/>
        </w:rPr>
        <w:t xml:space="preserve"> se aplica </w:t>
      </w:r>
      <w:r w:rsidRPr="002C13F3">
        <w:rPr>
          <w:rFonts w:ascii="Century" w:hAnsi="Century"/>
        </w:rPr>
        <w:t>dependiendo del grado de parentesco entre el adquirente y el causante</w:t>
      </w:r>
      <w:r w:rsidRPr="00514069">
        <w:rPr>
          <w:rFonts w:asciiTheme="minorHAnsi" w:hAnsiTheme="minorHAnsi" w:cstheme="minorHAnsi"/>
        </w:rPr>
        <w:t>:</w:t>
      </w:r>
      <w:r w:rsidRPr="002C13F3">
        <w:rPr>
          <w:rFonts w:ascii="Century" w:hAnsi="Century"/>
        </w:rPr>
        <w:t xml:space="preserve"> para descendientes menores de veintiún años</w:t>
      </w:r>
      <w:r w:rsidRPr="00514069">
        <w:rPr>
          <w:rFonts w:asciiTheme="minorHAnsi" w:hAnsiTheme="minorHAnsi" w:cstheme="minorHAnsi"/>
        </w:rPr>
        <w:t>:</w:t>
      </w:r>
      <w:r w:rsidRPr="002C13F3">
        <w:rPr>
          <w:rFonts w:ascii="Century" w:hAnsi="Century"/>
        </w:rPr>
        <w:t xml:space="preserve"> 25.000 euros, más 6.250 euros por cada año menor de veintiún años que tenga el causahabiente, sin exceder de 50.000 euros</w:t>
      </w:r>
      <w:r w:rsidRPr="00EC29FC">
        <w:rPr>
          <w:rFonts w:asciiTheme="minorHAnsi" w:hAnsiTheme="minorHAnsi" w:cstheme="minorHAnsi"/>
        </w:rPr>
        <w:t>;</w:t>
      </w:r>
      <w:r w:rsidRPr="002C13F3">
        <w:rPr>
          <w:rFonts w:ascii="Century" w:hAnsi="Century"/>
        </w:rPr>
        <w:t xml:space="preserve"> para los descendientes de veintiún o más años, cónyuges y ascendientes</w:t>
      </w:r>
      <w:r w:rsidRPr="00514069">
        <w:rPr>
          <w:rFonts w:asciiTheme="minorHAnsi" w:hAnsiTheme="minorHAnsi" w:cstheme="minorHAnsi"/>
        </w:rPr>
        <w:t>:</w:t>
      </w:r>
      <w:r w:rsidRPr="002C13F3">
        <w:rPr>
          <w:rFonts w:ascii="Century" w:hAnsi="Century"/>
        </w:rPr>
        <w:t xml:space="preserve"> 25.000 euros</w:t>
      </w:r>
      <w:r w:rsidRPr="00EC29FC">
        <w:rPr>
          <w:rFonts w:asciiTheme="minorHAnsi" w:hAnsiTheme="minorHAnsi" w:cstheme="minorHAnsi"/>
        </w:rPr>
        <w:t>;</w:t>
      </w:r>
      <w:r w:rsidRPr="002C13F3">
        <w:rPr>
          <w:rFonts w:ascii="Century" w:hAnsi="Century"/>
        </w:rPr>
        <w:t xml:space="preserve"> para los colaterales de segundo y tercer grado, ascendientes y descendientes por afinidad</w:t>
      </w:r>
      <w:r w:rsidRPr="00514069">
        <w:rPr>
          <w:rFonts w:asciiTheme="minorHAnsi" w:hAnsiTheme="minorHAnsi" w:cstheme="minorHAnsi"/>
        </w:rPr>
        <w:t>:</w:t>
      </w:r>
      <w:r w:rsidRPr="002C13F3">
        <w:rPr>
          <w:rFonts w:ascii="Century" w:hAnsi="Century"/>
        </w:rPr>
        <w:t xml:space="preserve"> 8.000 euros</w:t>
      </w:r>
      <w:r w:rsidRPr="00EC29FC">
        <w:rPr>
          <w:rFonts w:asciiTheme="minorHAnsi" w:hAnsiTheme="minorHAnsi" w:cstheme="minorHAnsi"/>
        </w:rPr>
        <w:t>;</w:t>
      </w:r>
      <w:r w:rsidRPr="002C13F3">
        <w:rPr>
          <w:rFonts w:ascii="Century" w:hAnsi="Century"/>
        </w:rPr>
        <w:t xml:space="preserve"> y para los colaterales de cuarto grado, grados más distantes y extraños</w:t>
      </w:r>
      <w:r w:rsidRPr="00514069">
        <w:rPr>
          <w:rFonts w:asciiTheme="minorHAnsi" w:hAnsiTheme="minorHAnsi" w:cstheme="minorHAnsi"/>
        </w:rPr>
        <w:t>:</w:t>
      </w:r>
      <w:r w:rsidRPr="002C13F3">
        <w:rPr>
          <w:rFonts w:ascii="Century" w:hAnsi="Century"/>
        </w:rPr>
        <w:t xml:space="preserve"> 1.000 euros.</w:t>
      </w:r>
    </w:p>
    <w:p w:rsidR="00DB54E9" w:rsidRPr="002C13F3" w:rsidRDefault="00DB54E9" w:rsidP="00CA7B21">
      <w:pPr>
        <w:pStyle w:val="NormalWeb"/>
        <w:spacing w:before="0" w:beforeAutospacing="0" w:after="240" w:afterAutospacing="0" w:line="360" w:lineRule="auto"/>
        <w:jc w:val="both"/>
        <w:rPr>
          <w:rFonts w:ascii="Century" w:hAnsi="Century"/>
        </w:rPr>
      </w:pPr>
      <w:r w:rsidRPr="002C13F3">
        <w:rPr>
          <w:rFonts w:ascii="Century" w:hAnsi="Century"/>
        </w:rPr>
        <w:tab/>
        <w:t>En Canarias, se a</w:t>
      </w:r>
      <w:r w:rsidR="00E8469A">
        <w:rPr>
          <w:rFonts w:ascii="Century" w:hAnsi="Century"/>
        </w:rPr>
        <w:t>plica también</w:t>
      </w:r>
      <w:r w:rsidRPr="002C13F3">
        <w:rPr>
          <w:rFonts w:ascii="Century" w:hAnsi="Century"/>
        </w:rPr>
        <w:t xml:space="preserve"> la reducción atendiendo </w:t>
      </w:r>
      <w:r w:rsidRPr="002C13F3">
        <w:rPr>
          <w:rFonts w:ascii="Century" w:hAnsi="Century"/>
          <w:iCs/>
        </w:rPr>
        <w:t>al grado de parentesco entre el adquirente y el causante</w:t>
      </w:r>
      <w:r w:rsidR="00E8469A" w:rsidRPr="00E8469A">
        <w:rPr>
          <w:rFonts w:ascii="Century" w:hAnsi="Century" w:cstheme="minorHAnsi"/>
        </w:rPr>
        <w:t>. Así:</w:t>
      </w:r>
    </w:p>
    <w:p w:rsidR="00DB54E9" w:rsidRPr="002C13F3" w:rsidRDefault="00DB54E9" w:rsidP="001B7405">
      <w:pPr>
        <w:pStyle w:val="NormalWeb"/>
        <w:spacing w:before="0" w:beforeAutospacing="0" w:after="0" w:afterAutospacing="0" w:line="360" w:lineRule="auto"/>
        <w:ind w:left="709"/>
        <w:jc w:val="both"/>
        <w:rPr>
          <w:rFonts w:ascii="Century" w:hAnsi="Century"/>
        </w:rPr>
      </w:pPr>
      <w:r w:rsidRPr="002C13F3">
        <w:rPr>
          <w:rFonts w:ascii="Century" w:hAnsi="Century"/>
        </w:rPr>
        <w:t xml:space="preserve">a) </w:t>
      </w:r>
      <w:r w:rsidR="009B410F">
        <w:rPr>
          <w:rFonts w:ascii="Century" w:hAnsi="Century"/>
        </w:rPr>
        <w:t xml:space="preserve">para </w:t>
      </w:r>
      <w:r w:rsidRPr="002C13F3">
        <w:rPr>
          <w:rFonts w:ascii="Century" w:hAnsi="Century"/>
        </w:rPr>
        <w:t xml:space="preserve">adquisiciones </w:t>
      </w:r>
      <w:r w:rsidR="009B410F">
        <w:rPr>
          <w:rFonts w:ascii="Century" w:hAnsi="Century"/>
        </w:rPr>
        <w:t>de</w:t>
      </w:r>
      <w:r w:rsidRPr="002C13F3">
        <w:rPr>
          <w:rFonts w:ascii="Century" w:hAnsi="Century"/>
        </w:rPr>
        <w:t xml:space="preserve"> descendientes y adoptados menores de veintiún años</w:t>
      </w:r>
      <w:r w:rsidRPr="00514069">
        <w:rPr>
          <w:rFonts w:asciiTheme="minorHAnsi" w:hAnsiTheme="minorHAnsi" w:cstheme="minorHAnsi"/>
        </w:rPr>
        <w:t>:</w:t>
      </w:r>
      <w:r w:rsidRPr="002C13F3">
        <w:rPr>
          <w:rFonts w:ascii="Century" w:hAnsi="Century"/>
          <w:b/>
          <w:bCs/>
        </w:rPr>
        <w:t xml:space="preserve"> </w:t>
      </w:r>
      <w:r w:rsidRPr="002C13F3">
        <w:rPr>
          <w:rFonts w:ascii="Century" w:hAnsi="Century"/>
          <w:bCs/>
        </w:rPr>
        <w:t xml:space="preserve">a.1) </w:t>
      </w:r>
      <w:r w:rsidRPr="002C13F3">
        <w:rPr>
          <w:rFonts w:ascii="Century" w:hAnsi="Century"/>
        </w:rPr>
        <w:t>menores de diez años de edad</w:t>
      </w:r>
      <w:r w:rsidRPr="00514069">
        <w:rPr>
          <w:rFonts w:asciiTheme="minorHAnsi" w:hAnsiTheme="minorHAnsi" w:cstheme="minorHAnsi"/>
        </w:rPr>
        <w:t>:</w:t>
      </w:r>
      <w:r w:rsidR="000E688B">
        <w:rPr>
          <w:rFonts w:ascii="Century" w:hAnsi="Century"/>
        </w:rPr>
        <w:t xml:space="preserve"> el 100 por cien</w:t>
      </w:r>
      <w:r w:rsidRPr="002C13F3">
        <w:rPr>
          <w:rFonts w:ascii="Century" w:hAnsi="Century"/>
        </w:rPr>
        <w:t xml:space="preserve"> de la base imponible, sin que la reducción pueda exceder de 138.650 euros</w:t>
      </w:r>
      <w:r w:rsidRPr="00EC29FC">
        <w:rPr>
          <w:rFonts w:asciiTheme="minorHAnsi" w:hAnsiTheme="minorHAnsi" w:cstheme="minorHAnsi"/>
        </w:rPr>
        <w:t>;</w:t>
      </w:r>
      <w:r w:rsidRPr="002C13F3">
        <w:rPr>
          <w:rFonts w:ascii="Century" w:hAnsi="Century"/>
        </w:rPr>
        <w:t xml:space="preserve"> a.2) menores de quince años e iguales y mayores de diez años de edad</w:t>
      </w:r>
      <w:r w:rsidRPr="00514069">
        <w:rPr>
          <w:rFonts w:asciiTheme="minorHAnsi" w:hAnsiTheme="minorHAnsi" w:cstheme="minorHAnsi"/>
        </w:rPr>
        <w:t>:</w:t>
      </w:r>
      <w:r w:rsidR="000E688B">
        <w:rPr>
          <w:rFonts w:ascii="Century" w:hAnsi="Century"/>
        </w:rPr>
        <w:t xml:space="preserve"> el 100 por cien</w:t>
      </w:r>
      <w:r w:rsidRPr="002C13F3">
        <w:rPr>
          <w:rFonts w:ascii="Century" w:hAnsi="Century"/>
        </w:rPr>
        <w:t xml:space="preserve"> de la base imponible, sin que la reducción pueda exceder de 92.150 euros</w:t>
      </w:r>
      <w:r w:rsidRPr="00EC29FC">
        <w:rPr>
          <w:rFonts w:asciiTheme="minorHAnsi" w:hAnsiTheme="minorHAnsi" w:cstheme="minorHAnsi"/>
        </w:rPr>
        <w:t>;</w:t>
      </w:r>
      <w:r w:rsidRPr="002C13F3">
        <w:rPr>
          <w:rFonts w:ascii="Century" w:hAnsi="Century"/>
        </w:rPr>
        <w:t xml:space="preserve"> a.3) menores de dieciocho años e iguales y mayores de quince años de edad</w:t>
      </w:r>
      <w:r w:rsidRPr="00514069">
        <w:rPr>
          <w:rFonts w:asciiTheme="minorHAnsi" w:hAnsiTheme="minorHAnsi" w:cstheme="minorHAnsi"/>
        </w:rPr>
        <w:t>:</w:t>
      </w:r>
      <w:r w:rsidR="000E688B">
        <w:rPr>
          <w:rFonts w:ascii="Century" w:hAnsi="Century"/>
        </w:rPr>
        <w:t xml:space="preserve"> el 100 por cien</w:t>
      </w:r>
      <w:r w:rsidRPr="002C13F3">
        <w:rPr>
          <w:rFonts w:ascii="Century" w:hAnsi="Century"/>
        </w:rPr>
        <w:t xml:space="preserve"> de la base imponible, sin que la reducción pueda exceder de 57.650 euros</w:t>
      </w:r>
      <w:r w:rsidRPr="00EC29FC">
        <w:rPr>
          <w:rFonts w:asciiTheme="minorHAnsi" w:hAnsiTheme="minorHAnsi" w:cstheme="minorHAnsi"/>
        </w:rPr>
        <w:t>;</w:t>
      </w:r>
      <w:r w:rsidRPr="002C13F3">
        <w:rPr>
          <w:rFonts w:ascii="Century" w:hAnsi="Century"/>
        </w:rPr>
        <w:t xml:space="preserve"> a.4) menores de veintiuno e iguales y mayores de dieciocho años de edad</w:t>
      </w:r>
      <w:r w:rsidRPr="00514069">
        <w:rPr>
          <w:rFonts w:asciiTheme="minorHAnsi" w:hAnsiTheme="minorHAnsi" w:cstheme="minorHAnsi"/>
        </w:rPr>
        <w:t>:</w:t>
      </w:r>
      <w:r w:rsidR="000E688B">
        <w:rPr>
          <w:rFonts w:ascii="Century" w:hAnsi="Century"/>
        </w:rPr>
        <w:t xml:space="preserve"> el 100 por cien</w:t>
      </w:r>
      <w:r w:rsidRPr="002C13F3">
        <w:rPr>
          <w:rFonts w:ascii="Century" w:hAnsi="Century"/>
        </w:rPr>
        <w:t xml:space="preserve"> de la base imponible, sin que la reducció</w:t>
      </w:r>
      <w:r w:rsidR="006A5290">
        <w:rPr>
          <w:rFonts w:ascii="Century" w:hAnsi="Century"/>
        </w:rPr>
        <w:t>n pueda exceder de 40.400 euros</w:t>
      </w:r>
      <w:r w:rsidRPr="002C13F3">
        <w:rPr>
          <w:rFonts w:ascii="Century" w:hAnsi="Century"/>
        </w:rPr>
        <w:t xml:space="preserve"> </w:t>
      </w:r>
    </w:p>
    <w:p w:rsidR="00DB54E9" w:rsidRPr="002C13F3" w:rsidRDefault="0044224F" w:rsidP="00CA7B21">
      <w:pPr>
        <w:pStyle w:val="NormalWeb"/>
        <w:spacing w:before="240" w:beforeAutospacing="0" w:after="240" w:afterAutospacing="0" w:line="360" w:lineRule="auto"/>
        <w:ind w:left="709" w:hanging="709"/>
        <w:jc w:val="both"/>
        <w:rPr>
          <w:rFonts w:ascii="Century" w:hAnsi="Century"/>
        </w:rPr>
      </w:pPr>
      <w:r>
        <w:rPr>
          <w:rFonts w:ascii="Century" w:hAnsi="Century"/>
        </w:rPr>
        <w:tab/>
      </w:r>
      <w:r w:rsidR="00DB54E9" w:rsidRPr="002C13F3">
        <w:rPr>
          <w:rFonts w:ascii="Century" w:hAnsi="Century"/>
        </w:rPr>
        <w:t xml:space="preserve">b) </w:t>
      </w:r>
      <w:proofErr w:type="gramStart"/>
      <w:r w:rsidR="009B410F">
        <w:rPr>
          <w:rFonts w:ascii="Century" w:hAnsi="Century"/>
        </w:rPr>
        <w:t>para</w:t>
      </w:r>
      <w:proofErr w:type="gramEnd"/>
      <w:r w:rsidR="009B410F">
        <w:rPr>
          <w:rFonts w:ascii="Century" w:hAnsi="Century"/>
        </w:rPr>
        <w:t xml:space="preserve"> </w:t>
      </w:r>
      <w:r w:rsidR="00DB54E9" w:rsidRPr="002C13F3">
        <w:rPr>
          <w:rFonts w:ascii="Century" w:hAnsi="Century"/>
        </w:rPr>
        <w:t>adquisiciones por cónyuges, descendientes y adoptados de veintiuno o más años, ascendientes y adoptantes</w:t>
      </w:r>
      <w:r w:rsidR="00DB54E9" w:rsidRPr="00514069">
        <w:rPr>
          <w:rFonts w:asciiTheme="minorHAnsi" w:hAnsiTheme="minorHAnsi" w:cstheme="minorHAnsi"/>
        </w:rPr>
        <w:t>:</w:t>
      </w:r>
      <w:r w:rsidR="00DB54E9" w:rsidRPr="002C13F3">
        <w:rPr>
          <w:rFonts w:ascii="Century" w:hAnsi="Century"/>
          <w:b/>
          <w:bCs/>
        </w:rPr>
        <w:t xml:space="preserve"> </w:t>
      </w:r>
      <w:r w:rsidR="00DB54E9" w:rsidRPr="002C13F3">
        <w:rPr>
          <w:rFonts w:ascii="Century" w:hAnsi="Century"/>
          <w:bCs/>
        </w:rPr>
        <w:t xml:space="preserve">b.1) </w:t>
      </w:r>
      <w:r w:rsidR="00DB54E9" w:rsidRPr="00CA2987">
        <w:rPr>
          <w:rFonts w:ascii="Century" w:hAnsi="Century"/>
          <w:bCs/>
        </w:rPr>
        <w:t>c</w:t>
      </w:r>
      <w:r w:rsidR="00DB54E9" w:rsidRPr="002C13F3">
        <w:rPr>
          <w:rFonts w:ascii="Century" w:hAnsi="Century"/>
        </w:rPr>
        <w:t>ónyuge</w:t>
      </w:r>
      <w:r w:rsidR="00DB54E9" w:rsidRPr="00514069">
        <w:rPr>
          <w:rFonts w:asciiTheme="minorHAnsi" w:hAnsiTheme="minorHAnsi" w:cstheme="minorHAnsi"/>
        </w:rPr>
        <w:t>:</w:t>
      </w:r>
      <w:r w:rsidR="00DB54E9" w:rsidRPr="002C13F3">
        <w:rPr>
          <w:rFonts w:ascii="Century" w:hAnsi="Century"/>
        </w:rPr>
        <w:t xml:space="preserve"> 40.400 euros</w:t>
      </w:r>
      <w:r w:rsidR="00DB54E9" w:rsidRPr="00EC29FC">
        <w:rPr>
          <w:rFonts w:asciiTheme="minorHAnsi" w:hAnsiTheme="minorHAnsi" w:cstheme="minorHAnsi"/>
        </w:rPr>
        <w:t>;</w:t>
      </w:r>
      <w:r w:rsidR="00DB54E9" w:rsidRPr="002C13F3">
        <w:rPr>
          <w:rFonts w:ascii="Century" w:hAnsi="Century"/>
        </w:rPr>
        <w:t xml:space="preserve"> b.2) hijos o adoptados</w:t>
      </w:r>
      <w:r w:rsidR="00DB54E9" w:rsidRPr="00514069">
        <w:rPr>
          <w:rFonts w:asciiTheme="minorHAnsi" w:hAnsiTheme="minorHAnsi" w:cstheme="minorHAnsi"/>
        </w:rPr>
        <w:t>:</w:t>
      </w:r>
      <w:r w:rsidR="00DB54E9" w:rsidRPr="002C13F3">
        <w:rPr>
          <w:rFonts w:ascii="Century" w:hAnsi="Century"/>
        </w:rPr>
        <w:t xml:space="preserve"> 23.125 euros</w:t>
      </w:r>
      <w:r w:rsidR="00DB54E9" w:rsidRPr="00EC29FC">
        <w:rPr>
          <w:rFonts w:asciiTheme="minorHAnsi" w:hAnsiTheme="minorHAnsi" w:cstheme="minorHAnsi"/>
        </w:rPr>
        <w:t>;</w:t>
      </w:r>
      <w:r w:rsidR="00DB54E9" w:rsidRPr="002C13F3">
        <w:rPr>
          <w:rFonts w:ascii="Century" w:hAnsi="Century"/>
        </w:rPr>
        <w:t xml:space="preserve"> b.3) resto de descendientes</w:t>
      </w:r>
      <w:r w:rsidR="00DB54E9" w:rsidRPr="00514069">
        <w:rPr>
          <w:rFonts w:asciiTheme="minorHAnsi" w:hAnsiTheme="minorHAnsi" w:cstheme="minorHAnsi"/>
        </w:rPr>
        <w:t>:</w:t>
      </w:r>
      <w:r w:rsidR="00DB54E9" w:rsidRPr="002C13F3">
        <w:rPr>
          <w:rFonts w:ascii="Century" w:hAnsi="Century"/>
        </w:rPr>
        <w:t xml:space="preserve"> 18.500 euros</w:t>
      </w:r>
      <w:r w:rsidR="00DB54E9" w:rsidRPr="00EC29FC">
        <w:rPr>
          <w:rFonts w:asciiTheme="minorHAnsi" w:hAnsiTheme="minorHAnsi" w:cstheme="minorHAnsi"/>
        </w:rPr>
        <w:t>;</w:t>
      </w:r>
      <w:r w:rsidR="00DB54E9" w:rsidRPr="002C13F3">
        <w:rPr>
          <w:rFonts w:ascii="Century" w:hAnsi="Century"/>
        </w:rPr>
        <w:t xml:space="preserve"> y b.4) ascendientes o adoptantes</w:t>
      </w:r>
      <w:r w:rsidR="00DB54E9" w:rsidRPr="00514069">
        <w:rPr>
          <w:rFonts w:asciiTheme="minorHAnsi" w:hAnsiTheme="minorHAnsi" w:cstheme="minorHAnsi"/>
        </w:rPr>
        <w:t>:</w:t>
      </w:r>
      <w:r w:rsidR="006A5290">
        <w:rPr>
          <w:rFonts w:ascii="Century" w:hAnsi="Century"/>
        </w:rPr>
        <w:t xml:space="preserve"> 18.500 euros</w:t>
      </w:r>
      <w:r w:rsidR="00DB54E9" w:rsidRPr="002C13F3">
        <w:rPr>
          <w:rFonts w:ascii="Century" w:hAnsi="Century"/>
        </w:rPr>
        <w:t xml:space="preserve"> </w:t>
      </w:r>
    </w:p>
    <w:p w:rsidR="00DB54E9" w:rsidRPr="002C13F3" w:rsidRDefault="0044224F" w:rsidP="001B7405">
      <w:pPr>
        <w:pStyle w:val="NormalWeb"/>
        <w:spacing w:before="0" w:beforeAutospacing="0" w:after="0" w:afterAutospacing="0" w:line="360" w:lineRule="auto"/>
        <w:ind w:left="709" w:hanging="709"/>
        <w:jc w:val="both"/>
        <w:rPr>
          <w:rFonts w:ascii="Century" w:hAnsi="Century"/>
        </w:rPr>
      </w:pPr>
      <w:r>
        <w:rPr>
          <w:rFonts w:ascii="Century" w:hAnsi="Century"/>
        </w:rPr>
        <w:lastRenderedPageBreak/>
        <w:tab/>
      </w:r>
      <w:r w:rsidR="00DB54E9" w:rsidRPr="002C13F3">
        <w:rPr>
          <w:rFonts w:ascii="Century" w:hAnsi="Century"/>
        </w:rPr>
        <w:t xml:space="preserve">c) </w:t>
      </w:r>
      <w:r w:rsidR="009B410F">
        <w:rPr>
          <w:rFonts w:ascii="Century" w:hAnsi="Century"/>
        </w:rPr>
        <w:t xml:space="preserve">para </w:t>
      </w:r>
      <w:r w:rsidR="00DB54E9" w:rsidRPr="002C13F3">
        <w:rPr>
          <w:rFonts w:ascii="Century" w:hAnsi="Century"/>
        </w:rPr>
        <w:t>adquisiciones por colaterales de segundo y tercer grado y por ascendientes y descendientes por afinidad</w:t>
      </w:r>
      <w:r w:rsidR="00DB54E9" w:rsidRPr="00514069">
        <w:rPr>
          <w:rFonts w:asciiTheme="minorHAnsi" w:hAnsiTheme="minorHAnsi" w:cstheme="minorHAnsi"/>
        </w:rPr>
        <w:t>:</w:t>
      </w:r>
      <w:r w:rsidR="006A5290">
        <w:rPr>
          <w:rFonts w:ascii="Century" w:hAnsi="Century"/>
        </w:rPr>
        <w:t xml:space="preserve"> 9.300 euros</w:t>
      </w:r>
      <w:r w:rsidR="00DB54E9" w:rsidRPr="002C13F3">
        <w:rPr>
          <w:rFonts w:ascii="Century" w:hAnsi="Century"/>
        </w:rPr>
        <w:t xml:space="preserve"> </w:t>
      </w:r>
    </w:p>
    <w:p w:rsidR="00DB54E9" w:rsidRPr="002C13F3" w:rsidRDefault="00DB54E9" w:rsidP="00CA7B21">
      <w:pPr>
        <w:pStyle w:val="NormalWeb"/>
        <w:spacing w:before="240" w:beforeAutospacing="0" w:after="240" w:afterAutospacing="0" w:line="360" w:lineRule="auto"/>
        <w:ind w:left="709"/>
        <w:jc w:val="both"/>
        <w:rPr>
          <w:rFonts w:ascii="Century" w:hAnsi="Century"/>
        </w:rPr>
      </w:pPr>
      <w:r w:rsidRPr="002C13F3">
        <w:rPr>
          <w:rFonts w:ascii="Century" w:hAnsi="Century"/>
        </w:rPr>
        <w:t xml:space="preserve">d) </w:t>
      </w:r>
      <w:r w:rsidR="009B410F">
        <w:rPr>
          <w:rFonts w:ascii="Century" w:hAnsi="Century"/>
        </w:rPr>
        <w:t xml:space="preserve">para </w:t>
      </w:r>
      <w:r w:rsidRPr="002C13F3">
        <w:rPr>
          <w:rFonts w:ascii="Century" w:hAnsi="Century"/>
        </w:rPr>
        <w:t>adquisiciones por colaterales de cuarto grado o de grados más distantes y extraños</w:t>
      </w:r>
      <w:r w:rsidRPr="00514069">
        <w:rPr>
          <w:rFonts w:asciiTheme="minorHAnsi" w:hAnsiTheme="minorHAnsi" w:cstheme="minorHAnsi"/>
        </w:rPr>
        <w:t>:</w:t>
      </w:r>
      <w:r w:rsidRPr="002C13F3">
        <w:rPr>
          <w:rFonts w:ascii="Century" w:hAnsi="Century"/>
        </w:rPr>
        <w:t xml:space="preserve"> no habrá lugar a reducción alguna por razón de parentesco.</w:t>
      </w:r>
    </w:p>
    <w:p w:rsidR="00DB54E9" w:rsidRPr="002C13F3" w:rsidRDefault="00DB54E9" w:rsidP="002D11BC">
      <w:pPr>
        <w:pStyle w:val="NormalWeb"/>
        <w:spacing w:before="0" w:beforeAutospacing="0" w:after="240" w:afterAutospacing="0" w:line="360" w:lineRule="auto"/>
        <w:jc w:val="both"/>
        <w:rPr>
          <w:rFonts w:ascii="Century" w:hAnsi="Century"/>
        </w:rPr>
      </w:pPr>
      <w:r w:rsidRPr="002C13F3">
        <w:rPr>
          <w:rFonts w:ascii="Century" w:hAnsi="Century"/>
        </w:rPr>
        <w:tab/>
        <w:t xml:space="preserve">En Cantabria, la reducción </w:t>
      </w:r>
      <w:r w:rsidR="00AC1CC7">
        <w:rPr>
          <w:rFonts w:ascii="Century" w:hAnsi="Century"/>
        </w:rPr>
        <w:t>se establece para</w:t>
      </w:r>
      <w:r w:rsidRPr="002C13F3">
        <w:rPr>
          <w:rFonts w:ascii="Century" w:hAnsi="Century"/>
        </w:rPr>
        <w:t xml:space="preserve"> las a</w:t>
      </w:r>
      <w:r w:rsidRPr="002C13F3">
        <w:rPr>
          <w:rFonts w:ascii="Century" w:hAnsi="Century"/>
          <w:iCs/>
        </w:rPr>
        <w:t>dquisiciones</w:t>
      </w:r>
      <w:r w:rsidR="00AC1CC7">
        <w:rPr>
          <w:rFonts w:ascii="Century" w:hAnsi="Century"/>
          <w:iCs/>
        </w:rPr>
        <w:t xml:space="preserve"> obtenidas</w:t>
      </w:r>
      <w:r w:rsidRPr="002C13F3">
        <w:rPr>
          <w:rFonts w:ascii="Century" w:hAnsi="Century"/>
          <w:iCs/>
        </w:rPr>
        <w:t xml:space="preserve"> por descendientes menores de veintiún años</w:t>
      </w:r>
      <w:r w:rsidRPr="00514069">
        <w:rPr>
          <w:rFonts w:asciiTheme="minorHAnsi" w:hAnsiTheme="minorHAnsi" w:cstheme="minorHAnsi"/>
          <w:iCs/>
        </w:rPr>
        <w:t>:</w:t>
      </w:r>
      <w:r w:rsidRPr="002C13F3">
        <w:rPr>
          <w:rFonts w:ascii="Century" w:hAnsi="Century"/>
          <w:iCs/>
        </w:rPr>
        <w:t xml:space="preserve"> 50.000 euros, más 5.000 euros por cada año de menos de veintiuno que tenga el causahabiente</w:t>
      </w:r>
      <w:r w:rsidRPr="00EC29FC">
        <w:rPr>
          <w:rFonts w:asciiTheme="minorHAnsi" w:hAnsiTheme="minorHAnsi" w:cstheme="minorHAnsi"/>
          <w:iCs/>
        </w:rPr>
        <w:t>;</w:t>
      </w:r>
      <w:r w:rsidRPr="002C13F3">
        <w:rPr>
          <w:rFonts w:ascii="Century" w:hAnsi="Century"/>
          <w:iCs/>
        </w:rPr>
        <w:t xml:space="preserve"> </w:t>
      </w:r>
      <w:r w:rsidR="00AC1CC7">
        <w:rPr>
          <w:rFonts w:ascii="Century" w:hAnsi="Century"/>
          <w:iCs/>
        </w:rPr>
        <w:t>las de</w:t>
      </w:r>
      <w:r w:rsidRPr="002C13F3">
        <w:rPr>
          <w:rFonts w:ascii="Century" w:hAnsi="Century"/>
          <w:iCs/>
        </w:rPr>
        <w:t xml:space="preserve"> descendientes de veintiún años o más, cónyuges y ascendientes</w:t>
      </w:r>
      <w:r w:rsidRPr="00514069">
        <w:rPr>
          <w:rFonts w:asciiTheme="minorHAnsi" w:hAnsiTheme="minorHAnsi" w:cstheme="minorHAnsi"/>
          <w:iCs/>
        </w:rPr>
        <w:t>:</w:t>
      </w:r>
      <w:r w:rsidRPr="002C13F3">
        <w:rPr>
          <w:rFonts w:ascii="Century" w:hAnsi="Century"/>
          <w:iCs/>
        </w:rPr>
        <w:t xml:space="preserve"> 50.000 euros</w:t>
      </w:r>
      <w:r w:rsidRPr="00EC29FC">
        <w:rPr>
          <w:rFonts w:asciiTheme="minorHAnsi" w:hAnsiTheme="minorHAnsi" w:cstheme="minorHAnsi"/>
          <w:iCs/>
        </w:rPr>
        <w:t>;</w:t>
      </w:r>
      <w:r w:rsidRPr="002C13F3">
        <w:rPr>
          <w:rFonts w:ascii="Century" w:hAnsi="Century"/>
          <w:iCs/>
        </w:rPr>
        <w:t xml:space="preserve"> </w:t>
      </w:r>
      <w:r w:rsidR="00AC1CC7">
        <w:rPr>
          <w:rFonts w:ascii="Century" w:hAnsi="Century"/>
          <w:iCs/>
        </w:rPr>
        <w:t>las de</w:t>
      </w:r>
      <w:r w:rsidRPr="002C13F3">
        <w:rPr>
          <w:rFonts w:ascii="Century" w:hAnsi="Century"/>
          <w:iCs/>
        </w:rPr>
        <w:t xml:space="preserve"> colaterales de segundo y tercer grado y por ascendientes y descendientes por afinidad</w:t>
      </w:r>
      <w:r w:rsidRPr="00514069">
        <w:rPr>
          <w:rFonts w:asciiTheme="minorHAnsi" w:hAnsiTheme="minorHAnsi" w:cstheme="minorHAnsi"/>
          <w:iCs/>
        </w:rPr>
        <w:t>:</w:t>
      </w:r>
      <w:r w:rsidRPr="002C13F3">
        <w:rPr>
          <w:rFonts w:ascii="Century" w:hAnsi="Century"/>
          <w:iCs/>
        </w:rPr>
        <w:t xml:space="preserve"> 8.000 euros</w:t>
      </w:r>
      <w:r w:rsidRPr="00EC29FC">
        <w:rPr>
          <w:rFonts w:asciiTheme="minorHAnsi" w:hAnsiTheme="minorHAnsi" w:cstheme="minorHAnsi"/>
          <w:iCs/>
        </w:rPr>
        <w:t>;</w:t>
      </w:r>
      <w:r w:rsidRPr="002C13F3">
        <w:rPr>
          <w:rFonts w:ascii="Century" w:hAnsi="Century"/>
          <w:iCs/>
        </w:rPr>
        <w:t xml:space="preserve"> y </w:t>
      </w:r>
      <w:r w:rsidR="00AC1CC7">
        <w:rPr>
          <w:rFonts w:ascii="Century" w:hAnsi="Century"/>
          <w:iCs/>
        </w:rPr>
        <w:t>las de</w:t>
      </w:r>
      <w:r w:rsidRPr="002C13F3">
        <w:rPr>
          <w:rFonts w:ascii="Century" w:hAnsi="Century"/>
          <w:iCs/>
        </w:rPr>
        <w:t xml:space="preserve"> colaterales de cuarto grado o de grados más distantes y extraños</w:t>
      </w:r>
      <w:r w:rsidRPr="00514069">
        <w:rPr>
          <w:rFonts w:asciiTheme="minorHAnsi" w:hAnsiTheme="minorHAnsi" w:cstheme="minorHAnsi"/>
          <w:iCs/>
        </w:rPr>
        <w:t>:</w:t>
      </w:r>
      <w:r w:rsidRPr="002C13F3">
        <w:rPr>
          <w:rFonts w:ascii="Century" w:hAnsi="Century"/>
          <w:iCs/>
        </w:rPr>
        <w:t xml:space="preserve"> </w:t>
      </w:r>
      <w:r w:rsidR="00AC1CC7">
        <w:rPr>
          <w:rFonts w:ascii="Century" w:hAnsi="Century"/>
          <w:iCs/>
        </w:rPr>
        <w:t>no tendrán reducción</w:t>
      </w:r>
      <w:r w:rsidR="00211877">
        <w:rPr>
          <w:rFonts w:ascii="Century" w:hAnsi="Century"/>
          <w:iCs/>
        </w:rPr>
        <w:t xml:space="preserve"> alguna por razón de parentesco.</w:t>
      </w:r>
    </w:p>
    <w:p w:rsidR="00DB54E9" w:rsidRPr="002C13F3" w:rsidRDefault="00DB54E9" w:rsidP="002D11BC">
      <w:pPr>
        <w:pStyle w:val="NormalWeb"/>
        <w:spacing w:before="0" w:beforeAutospacing="0" w:after="240" w:afterAutospacing="0" w:line="360" w:lineRule="auto"/>
        <w:jc w:val="both"/>
        <w:rPr>
          <w:rFonts w:ascii="Century" w:hAnsi="Century"/>
          <w:i/>
          <w:iCs/>
        </w:rPr>
      </w:pPr>
      <w:r w:rsidRPr="002C13F3">
        <w:rPr>
          <w:rFonts w:ascii="Century" w:hAnsi="Century"/>
        </w:rPr>
        <w:tab/>
        <w:t xml:space="preserve">En Castilla y León, </w:t>
      </w:r>
      <w:r w:rsidR="00AC1CC7">
        <w:rPr>
          <w:rFonts w:ascii="Century" w:hAnsi="Century"/>
          <w:bCs/>
        </w:rPr>
        <w:t>los</w:t>
      </w:r>
      <w:r w:rsidRPr="002C13F3">
        <w:rPr>
          <w:rFonts w:ascii="Century" w:hAnsi="Century"/>
          <w:b/>
          <w:bCs/>
        </w:rPr>
        <w:t xml:space="preserve"> </w:t>
      </w:r>
      <w:r w:rsidRPr="002C13F3">
        <w:rPr>
          <w:rFonts w:ascii="Century" w:hAnsi="Century"/>
        </w:rPr>
        <w:t xml:space="preserve">descendientes y adoptados de veintiún o más años, cónyuges, ascendientes y adoptantes, </w:t>
      </w:r>
      <w:r w:rsidR="00AC1CC7">
        <w:rPr>
          <w:rFonts w:ascii="Century" w:hAnsi="Century"/>
        </w:rPr>
        <w:t xml:space="preserve">tendrán una reducción de </w:t>
      </w:r>
      <w:r w:rsidRPr="002C13F3">
        <w:rPr>
          <w:rFonts w:ascii="Century" w:hAnsi="Century"/>
        </w:rPr>
        <w:t>60.000 euros</w:t>
      </w:r>
      <w:r w:rsidRPr="00EC29FC">
        <w:rPr>
          <w:rFonts w:asciiTheme="minorHAnsi" w:hAnsiTheme="minorHAnsi" w:cstheme="minorHAnsi"/>
        </w:rPr>
        <w:t>;</w:t>
      </w:r>
      <w:r w:rsidRPr="002C13F3">
        <w:rPr>
          <w:rFonts w:ascii="Century" w:hAnsi="Century"/>
        </w:rPr>
        <w:t xml:space="preserve"> </w:t>
      </w:r>
      <w:r w:rsidRPr="002C13F3">
        <w:rPr>
          <w:rFonts w:ascii="Century" w:hAnsi="Century"/>
          <w:bCs/>
        </w:rPr>
        <w:t>en el caso de</w:t>
      </w:r>
      <w:r w:rsidRPr="002C13F3">
        <w:rPr>
          <w:rFonts w:ascii="Century" w:hAnsi="Century"/>
          <w:b/>
          <w:bCs/>
        </w:rPr>
        <w:t xml:space="preserve"> </w:t>
      </w:r>
      <w:r w:rsidRPr="002C13F3">
        <w:rPr>
          <w:rFonts w:ascii="Century" w:hAnsi="Century"/>
        </w:rPr>
        <w:t xml:space="preserve">descendientes y adoptados menores de veintiún años, 60.000 euros, más 6.000 euros por cada año menos de veintiuno que tenga el contribuyente. En los demás casos, </w:t>
      </w:r>
      <w:r w:rsidR="00AC1CC7">
        <w:rPr>
          <w:rFonts w:ascii="Century" w:hAnsi="Century"/>
        </w:rPr>
        <w:t xml:space="preserve">se prevé </w:t>
      </w:r>
      <w:r w:rsidRPr="002C13F3">
        <w:rPr>
          <w:rFonts w:ascii="Century" w:hAnsi="Century"/>
        </w:rPr>
        <w:t>u</w:t>
      </w:r>
      <w:r w:rsidRPr="002C13F3">
        <w:rPr>
          <w:rFonts w:ascii="Century" w:hAnsi="Century"/>
          <w:iCs/>
        </w:rPr>
        <w:t>na reducción variable</w:t>
      </w:r>
      <w:r w:rsidRPr="002C13F3">
        <w:rPr>
          <w:rFonts w:ascii="Century" w:hAnsi="Century"/>
          <w:i/>
          <w:iCs/>
        </w:rPr>
        <w:t>.</w:t>
      </w:r>
    </w:p>
    <w:p w:rsidR="00DB54E9" w:rsidRPr="002C13F3" w:rsidRDefault="00DB54E9" w:rsidP="0061675B">
      <w:pPr>
        <w:pStyle w:val="NormalWeb"/>
        <w:spacing w:before="0" w:beforeAutospacing="0" w:after="0" w:afterAutospacing="0" w:line="360" w:lineRule="auto"/>
        <w:jc w:val="both"/>
        <w:rPr>
          <w:rFonts w:ascii="Century" w:hAnsi="Century"/>
          <w:iCs/>
        </w:rPr>
      </w:pPr>
      <w:r w:rsidRPr="002C13F3">
        <w:rPr>
          <w:rFonts w:ascii="Century" w:hAnsi="Century"/>
          <w:iCs/>
        </w:rPr>
        <w:tab/>
        <w:t>En Cataluña, se aplica la reducción que corresponda por razón del grado de parentesco entre el adquirente y el causante de la siguiente forma</w:t>
      </w:r>
      <w:r w:rsidRPr="00514069">
        <w:rPr>
          <w:rFonts w:asciiTheme="minorHAnsi" w:hAnsiTheme="minorHAnsi" w:cstheme="minorHAnsi"/>
          <w:iCs/>
        </w:rPr>
        <w:t>:</w:t>
      </w:r>
    </w:p>
    <w:p w:rsidR="00DB54E9" w:rsidRPr="002C13F3" w:rsidRDefault="0044224F" w:rsidP="00CA7B21">
      <w:pPr>
        <w:pStyle w:val="NormalWeb"/>
        <w:spacing w:before="240" w:beforeAutospacing="0" w:after="0" w:afterAutospacing="0" w:line="360" w:lineRule="auto"/>
        <w:ind w:left="709" w:hanging="709"/>
        <w:jc w:val="both"/>
        <w:rPr>
          <w:rFonts w:ascii="Century" w:hAnsi="Century"/>
        </w:rPr>
      </w:pPr>
      <w:r>
        <w:rPr>
          <w:rFonts w:ascii="Century" w:hAnsi="Century"/>
          <w:iCs/>
        </w:rPr>
        <w:tab/>
      </w:r>
      <w:r w:rsidR="00DB54E9" w:rsidRPr="002C13F3">
        <w:rPr>
          <w:rFonts w:ascii="Century" w:hAnsi="Century"/>
          <w:iCs/>
        </w:rPr>
        <w:t xml:space="preserve">a) </w:t>
      </w:r>
      <w:r>
        <w:rPr>
          <w:rFonts w:ascii="Century" w:hAnsi="Century"/>
          <w:iCs/>
        </w:rPr>
        <w:t>adquisiciones de</w:t>
      </w:r>
      <w:r w:rsidR="00DB54E9" w:rsidRPr="002C13F3">
        <w:rPr>
          <w:rFonts w:ascii="Century" w:hAnsi="Century"/>
        </w:rPr>
        <w:t xml:space="preserve"> descendientes menores de veintiún años</w:t>
      </w:r>
      <w:r w:rsidR="00DB54E9" w:rsidRPr="00514069">
        <w:rPr>
          <w:rFonts w:asciiTheme="minorHAnsi" w:hAnsiTheme="minorHAnsi" w:cstheme="minorHAnsi"/>
        </w:rPr>
        <w:t>:</w:t>
      </w:r>
      <w:r w:rsidR="00DB54E9" w:rsidRPr="002C13F3">
        <w:rPr>
          <w:rFonts w:ascii="Century" w:hAnsi="Century"/>
        </w:rPr>
        <w:t xml:space="preserve"> 100.000, más 12.000 euros por cada año de menos de veintiuno que tenga el causahabiente, hasta un límite de 196.000 euros. </w:t>
      </w:r>
    </w:p>
    <w:p w:rsidR="00DB54E9" w:rsidRPr="002C13F3" w:rsidRDefault="00DB54E9" w:rsidP="00CA7B21">
      <w:pPr>
        <w:pStyle w:val="NormalWeb"/>
        <w:spacing w:before="240" w:beforeAutospacing="0" w:after="0" w:afterAutospacing="0" w:line="360" w:lineRule="auto"/>
        <w:ind w:left="709"/>
        <w:jc w:val="both"/>
        <w:rPr>
          <w:rFonts w:ascii="Century" w:hAnsi="Century"/>
        </w:rPr>
      </w:pPr>
      <w:r w:rsidRPr="002C13F3">
        <w:rPr>
          <w:rFonts w:ascii="Century" w:hAnsi="Century"/>
        </w:rPr>
        <w:t xml:space="preserve">b) </w:t>
      </w:r>
      <w:r w:rsidR="0044224F">
        <w:rPr>
          <w:rFonts w:ascii="Century" w:hAnsi="Century"/>
          <w:iCs/>
        </w:rPr>
        <w:t>adquisiciones de</w:t>
      </w:r>
      <w:r w:rsidRPr="002C13F3">
        <w:rPr>
          <w:rFonts w:ascii="Century" w:hAnsi="Century"/>
        </w:rPr>
        <w:t xml:space="preserve"> descendientes de veintiún años o más, cónyuges y ascendientes</w:t>
      </w:r>
      <w:r w:rsidRPr="00514069">
        <w:rPr>
          <w:rFonts w:asciiTheme="minorHAnsi" w:hAnsiTheme="minorHAnsi" w:cstheme="minorHAnsi"/>
        </w:rPr>
        <w:t>:</w:t>
      </w:r>
      <w:r w:rsidRPr="002C13F3">
        <w:rPr>
          <w:rFonts w:ascii="Century" w:hAnsi="Century"/>
        </w:rPr>
        <w:t xml:space="preserve"> cónyuge</w:t>
      </w:r>
      <w:r w:rsidRPr="00514069">
        <w:rPr>
          <w:rFonts w:asciiTheme="minorHAnsi" w:hAnsiTheme="minorHAnsi" w:cstheme="minorHAnsi"/>
        </w:rPr>
        <w:t>:</w:t>
      </w:r>
      <w:r w:rsidRPr="002C13F3">
        <w:rPr>
          <w:rFonts w:ascii="Century" w:hAnsi="Century"/>
        </w:rPr>
        <w:t xml:space="preserve"> 100.000 euros, hijo</w:t>
      </w:r>
      <w:r w:rsidRPr="00514069">
        <w:rPr>
          <w:rFonts w:asciiTheme="minorHAnsi" w:hAnsiTheme="minorHAnsi" w:cstheme="minorHAnsi"/>
        </w:rPr>
        <w:t>:</w:t>
      </w:r>
      <w:r w:rsidRPr="002C13F3">
        <w:rPr>
          <w:rFonts w:ascii="Century" w:hAnsi="Century"/>
        </w:rPr>
        <w:t xml:space="preserve"> 100.000 euros, resto de descendientes</w:t>
      </w:r>
      <w:r w:rsidRPr="00514069">
        <w:rPr>
          <w:rFonts w:asciiTheme="minorHAnsi" w:hAnsiTheme="minorHAnsi" w:cstheme="minorHAnsi"/>
        </w:rPr>
        <w:t>:</w:t>
      </w:r>
      <w:r w:rsidRPr="002C13F3">
        <w:rPr>
          <w:rFonts w:ascii="Century" w:hAnsi="Century"/>
        </w:rPr>
        <w:t xml:space="preserve"> 50.000 euros y ascendientes</w:t>
      </w:r>
      <w:r w:rsidRPr="00514069">
        <w:rPr>
          <w:rFonts w:asciiTheme="minorHAnsi" w:hAnsiTheme="minorHAnsi" w:cstheme="minorHAnsi"/>
        </w:rPr>
        <w:t>:</w:t>
      </w:r>
      <w:r w:rsidRPr="002C13F3">
        <w:rPr>
          <w:rFonts w:ascii="Century" w:hAnsi="Century"/>
        </w:rPr>
        <w:t xml:space="preserve"> 30.000 euros. </w:t>
      </w:r>
    </w:p>
    <w:p w:rsidR="00DB54E9" w:rsidRPr="002C13F3" w:rsidRDefault="0044224F" w:rsidP="00CA7B21">
      <w:pPr>
        <w:pStyle w:val="NormalWeb"/>
        <w:spacing w:before="240" w:beforeAutospacing="0" w:after="0" w:afterAutospacing="0" w:line="360" w:lineRule="auto"/>
        <w:ind w:left="709"/>
        <w:jc w:val="both"/>
        <w:rPr>
          <w:rFonts w:ascii="Century" w:hAnsi="Century"/>
        </w:rPr>
      </w:pPr>
      <w:r>
        <w:rPr>
          <w:rFonts w:ascii="Century" w:hAnsi="Century"/>
        </w:rPr>
        <w:t xml:space="preserve">c) </w:t>
      </w:r>
      <w:r>
        <w:rPr>
          <w:rFonts w:ascii="Century" w:hAnsi="Century"/>
          <w:iCs/>
        </w:rPr>
        <w:t>adquisiciones de</w:t>
      </w:r>
      <w:r w:rsidR="00DB54E9" w:rsidRPr="002C13F3">
        <w:rPr>
          <w:rFonts w:ascii="Century" w:hAnsi="Century"/>
        </w:rPr>
        <w:t xml:space="preserve"> colaterales de segundo y tercer grado y por ascendientes y descendientes por afinidad</w:t>
      </w:r>
      <w:r w:rsidR="00DB54E9" w:rsidRPr="00514069">
        <w:rPr>
          <w:rFonts w:asciiTheme="minorHAnsi" w:hAnsiTheme="minorHAnsi" w:cstheme="minorHAnsi"/>
        </w:rPr>
        <w:t>:</w:t>
      </w:r>
      <w:r w:rsidR="00DB54E9" w:rsidRPr="002C13F3">
        <w:rPr>
          <w:rFonts w:ascii="Century" w:hAnsi="Century"/>
        </w:rPr>
        <w:t xml:space="preserve"> 8.000 euros. </w:t>
      </w:r>
    </w:p>
    <w:p w:rsidR="00DB54E9" w:rsidRPr="002C13F3" w:rsidRDefault="00DB54E9" w:rsidP="0061675B">
      <w:pPr>
        <w:pStyle w:val="NormalWeb"/>
        <w:spacing w:before="0" w:beforeAutospacing="0" w:after="240" w:afterAutospacing="0" w:line="360" w:lineRule="auto"/>
        <w:ind w:left="709"/>
        <w:jc w:val="both"/>
        <w:rPr>
          <w:rFonts w:ascii="Century" w:hAnsi="Century"/>
        </w:rPr>
      </w:pPr>
      <w:r w:rsidRPr="002C13F3">
        <w:rPr>
          <w:rFonts w:ascii="Century" w:hAnsi="Century"/>
        </w:rPr>
        <w:lastRenderedPageBreak/>
        <w:t xml:space="preserve">d) </w:t>
      </w:r>
      <w:r w:rsidR="0044224F">
        <w:rPr>
          <w:rFonts w:ascii="Century" w:hAnsi="Century"/>
          <w:iCs/>
        </w:rPr>
        <w:t>adquisiciones de</w:t>
      </w:r>
      <w:r w:rsidRPr="002C13F3">
        <w:rPr>
          <w:rFonts w:ascii="Century" w:hAnsi="Century"/>
        </w:rPr>
        <w:t xml:space="preserve"> colaterales de cuarto grado o de grados más distantes y extraños</w:t>
      </w:r>
      <w:r w:rsidRPr="00514069">
        <w:rPr>
          <w:rFonts w:asciiTheme="minorHAnsi" w:hAnsiTheme="minorHAnsi" w:cstheme="minorHAnsi"/>
        </w:rPr>
        <w:t>:</w:t>
      </w:r>
      <w:r w:rsidRPr="002C13F3">
        <w:rPr>
          <w:rFonts w:ascii="Century" w:hAnsi="Century"/>
        </w:rPr>
        <w:t xml:space="preserve"> </w:t>
      </w:r>
      <w:r w:rsidR="0044224F">
        <w:rPr>
          <w:rFonts w:ascii="Century" w:hAnsi="Century"/>
        </w:rPr>
        <w:t>sin</w:t>
      </w:r>
      <w:r w:rsidRPr="002C13F3">
        <w:rPr>
          <w:rFonts w:ascii="Century" w:hAnsi="Century"/>
        </w:rPr>
        <w:t xml:space="preserve"> reducción.</w:t>
      </w:r>
    </w:p>
    <w:p w:rsidR="00DB54E9" w:rsidRPr="002C13F3" w:rsidRDefault="00DB54E9" w:rsidP="002D11BC">
      <w:pPr>
        <w:pStyle w:val="NormalWeb"/>
        <w:spacing w:before="0" w:beforeAutospacing="0" w:after="240" w:afterAutospacing="0" w:line="360" w:lineRule="auto"/>
        <w:jc w:val="both"/>
        <w:rPr>
          <w:rFonts w:ascii="Century" w:hAnsi="Century"/>
        </w:rPr>
      </w:pPr>
      <w:r w:rsidRPr="002C13F3">
        <w:rPr>
          <w:rFonts w:ascii="Century" w:hAnsi="Century"/>
        </w:rPr>
        <w:tab/>
        <w:t xml:space="preserve">En Extremadura, se aplicará una reducción propia cuando el caudal hereditario del causante no sea superior a 600.000 euros, siempre que </w:t>
      </w:r>
      <w:r w:rsidR="0044224F">
        <w:rPr>
          <w:rFonts w:ascii="Century" w:hAnsi="Century"/>
        </w:rPr>
        <w:t>el</w:t>
      </w:r>
      <w:r w:rsidRPr="002C13F3">
        <w:rPr>
          <w:rFonts w:ascii="Century" w:hAnsi="Century"/>
        </w:rPr>
        <w:t xml:space="preserve"> patrimonio preexistente </w:t>
      </w:r>
      <w:r w:rsidR="0044224F">
        <w:rPr>
          <w:rFonts w:ascii="Century" w:hAnsi="Century"/>
        </w:rPr>
        <w:t xml:space="preserve">del causahabiente </w:t>
      </w:r>
      <w:r w:rsidRPr="002C13F3">
        <w:rPr>
          <w:rFonts w:ascii="Century" w:hAnsi="Century"/>
        </w:rPr>
        <w:t xml:space="preserve">no supere los 300.000 euros. El importe de esta reducción de la base imponible consistirá en una cantidad variable, la cual sumada al de las restantes reducciones aplicables por el contribuyente deberá ser igual a 175.000 euros. </w:t>
      </w:r>
      <w:r w:rsidR="0073708F">
        <w:rPr>
          <w:rFonts w:ascii="Century" w:hAnsi="Century"/>
        </w:rPr>
        <w:t>En este sentido, s</w:t>
      </w:r>
      <w:r w:rsidRPr="002C13F3">
        <w:rPr>
          <w:rFonts w:ascii="Century" w:hAnsi="Century"/>
        </w:rPr>
        <w:t>i la suma de las restantes reducciones fuera igual o superior a esta cantidad no procedería esta reducción. No obstante, los descendientes y adoptados menores de veintiún años podrán aplicarse una reducción en la base imponible de 18.000 euros, más 6.000 euros por cada año menos de veintiuno que tenga el contribuyente, sin que la reducción pueda exceder de 70.000 euros.</w:t>
      </w:r>
    </w:p>
    <w:p w:rsidR="00DB54E9" w:rsidRPr="002C13F3" w:rsidRDefault="00DB54E9" w:rsidP="00AC1383">
      <w:pPr>
        <w:pStyle w:val="NormalWeb"/>
        <w:spacing w:before="0" w:beforeAutospacing="0" w:after="0" w:afterAutospacing="0" w:line="360" w:lineRule="auto"/>
        <w:jc w:val="both"/>
        <w:rPr>
          <w:rFonts w:ascii="Century" w:hAnsi="Century"/>
        </w:rPr>
      </w:pPr>
      <w:r w:rsidRPr="002C13F3">
        <w:rPr>
          <w:rFonts w:ascii="Century" w:hAnsi="Century"/>
        </w:rPr>
        <w:tab/>
        <w:t>En Galicia, se aplicará la reducción atendiendo a lo siguiente</w:t>
      </w:r>
      <w:r w:rsidRPr="00514069">
        <w:rPr>
          <w:rFonts w:asciiTheme="minorHAnsi" w:hAnsiTheme="minorHAnsi" w:cstheme="minorHAnsi"/>
        </w:rPr>
        <w:t>:</w:t>
      </w:r>
      <w:r w:rsidRPr="002C13F3">
        <w:rPr>
          <w:rFonts w:ascii="Century" w:hAnsi="Century"/>
        </w:rPr>
        <w:t xml:space="preserve"> </w:t>
      </w:r>
    </w:p>
    <w:p w:rsidR="00DB54E9" w:rsidRPr="002C13F3" w:rsidRDefault="0044224F" w:rsidP="007511E9">
      <w:pPr>
        <w:pStyle w:val="NormalWeb"/>
        <w:spacing w:before="240" w:beforeAutospacing="0" w:after="0" w:afterAutospacing="0" w:line="360" w:lineRule="auto"/>
        <w:ind w:left="709" w:hanging="709"/>
        <w:jc w:val="both"/>
        <w:rPr>
          <w:rFonts w:ascii="Century" w:hAnsi="Century"/>
        </w:rPr>
      </w:pPr>
      <w:r>
        <w:rPr>
          <w:rFonts w:ascii="Century" w:hAnsi="Century"/>
          <w:bCs/>
        </w:rPr>
        <w:tab/>
      </w:r>
      <w:r w:rsidR="00DB54E9" w:rsidRPr="002C13F3">
        <w:rPr>
          <w:rFonts w:ascii="Century" w:hAnsi="Century"/>
          <w:bCs/>
        </w:rPr>
        <w:t xml:space="preserve">a) </w:t>
      </w:r>
      <w:r>
        <w:rPr>
          <w:rFonts w:ascii="Century" w:hAnsi="Century"/>
          <w:bCs/>
        </w:rPr>
        <w:t xml:space="preserve">por </w:t>
      </w:r>
      <w:r>
        <w:rPr>
          <w:rFonts w:ascii="Century" w:hAnsi="Century"/>
        </w:rPr>
        <w:t>adquisiciones de</w:t>
      </w:r>
      <w:r w:rsidR="00DB54E9" w:rsidRPr="002C13F3">
        <w:rPr>
          <w:rFonts w:ascii="Century" w:hAnsi="Century"/>
        </w:rPr>
        <w:t xml:space="preserve"> descendientes y adoptados menores de veintiún años, 1.000.000 de euros, más 100.000 euros por cada año menos de veintiún que tenga el causahabiente, con un límite de 1.500.000 euros. </w:t>
      </w:r>
    </w:p>
    <w:p w:rsidR="00DB54E9" w:rsidRPr="002C13F3" w:rsidRDefault="00DB54E9" w:rsidP="007511E9">
      <w:pPr>
        <w:pStyle w:val="NormalWeb"/>
        <w:spacing w:before="240" w:beforeAutospacing="0" w:after="0" w:afterAutospacing="0" w:line="360" w:lineRule="auto"/>
        <w:ind w:left="709"/>
        <w:jc w:val="both"/>
        <w:rPr>
          <w:rFonts w:ascii="Century" w:hAnsi="Century"/>
        </w:rPr>
      </w:pPr>
      <w:r w:rsidRPr="002C13F3">
        <w:rPr>
          <w:rFonts w:ascii="Century" w:hAnsi="Century"/>
          <w:bCs/>
        </w:rPr>
        <w:t xml:space="preserve">b) </w:t>
      </w:r>
      <w:r w:rsidR="0044224F">
        <w:rPr>
          <w:rFonts w:ascii="Century" w:hAnsi="Century"/>
          <w:bCs/>
        </w:rPr>
        <w:t xml:space="preserve">por </w:t>
      </w:r>
      <w:r w:rsidR="0044224F">
        <w:rPr>
          <w:rFonts w:ascii="Century" w:hAnsi="Century"/>
        </w:rPr>
        <w:t>adquisiciones de</w:t>
      </w:r>
      <w:r w:rsidRPr="002C13F3">
        <w:rPr>
          <w:rFonts w:ascii="Century" w:hAnsi="Century"/>
        </w:rPr>
        <w:t xml:space="preserve"> descendientes y adoptados de veintiún años o más y menores de veinticinco, 900.000 euros, menos 100.000 euros por cada año mayor de veintiuno hasta veinticuatro</w:t>
      </w:r>
      <w:r w:rsidRPr="00EC29FC">
        <w:rPr>
          <w:rFonts w:asciiTheme="minorHAnsi" w:hAnsiTheme="minorHAnsi" w:cstheme="minorHAnsi"/>
        </w:rPr>
        <w:t>;</w:t>
      </w:r>
      <w:r w:rsidRPr="002C13F3">
        <w:rPr>
          <w:rFonts w:ascii="Century" w:hAnsi="Century"/>
        </w:rPr>
        <w:t xml:space="preserve"> de veinticinco años o más, cónyuges, ascendientes y adoptantes, 400.000 euros. </w:t>
      </w:r>
    </w:p>
    <w:p w:rsidR="00DB54E9" w:rsidRPr="002C13F3" w:rsidRDefault="00DB54E9" w:rsidP="007511E9">
      <w:pPr>
        <w:pStyle w:val="NormalWeb"/>
        <w:spacing w:before="240" w:beforeAutospacing="0" w:after="0" w:afterAutospacing="0" w:line="360" w:lineRule="auto"/>
        <w:ind w:left="709"/>
        <w:jc w:val="both"/>
        <w:rPr>
          <w:rFonts w:ascii="Century" w:hAnsi="Century"/>
        </w:rPr>
      </w:pPr>
      <w:r w:rsidRPr="002C13F3">
        <w:rPr>
          <w:rFonts w:ascii="Century" w:hAnsi="Century"/>
          <w:bCs/>
        </w:rPr>
        <w:t xml:space="preserve">c) </w:t>
      </w:r>
      <w:r w:rsidR="0044224F">
        <w:rPr>
          <w:rFonts w:ascii="Century" w:hAnsi="Century"/>
          <w:bCs/>
        </w:rPr>
        <w:t xml:space="preserve">por </w:t>
      </w:r>
      <w:r w:rsidR="0044224F">
        <w:rPr>
          <w:rFonts w:ascii="Century" w:hAnsi="Century"/>
        </w:rPr>
        <w:t>adquisiciones de</w:t>
      </w:r>
      <w:r w:rsidRPr="002C13F3">
        <w:rPr>
          <w:rFonts w:ascii="Century" w:hAnsi="Century"/>
        </w:rPr>
        <w:t xml:space="preserve"> colaterales de segundo y tercer grado, y ascendientes y descendientes por afinidad, 8.000 euros. </w:t>
      </w:r>
    </w:p>
    <w:p w:rsidR="00DB54E9" w:rsidRDefault="00DB54E9" w:rsidP="007511E9">
      <w:pPr>
        <w:pStyle w:val="NormalWeb"/>
        <w:spacing w:before="240" w:beforeAutospacing="0" w:after="240" w:afterAutospacing="0" w:line="360" w:lineRule="auto"/>
        <w:ind w:left="709"/>
        <w:jc w:val="both"/>
        <w:rPr>
          <w:rFonts w:ascii="Century" w:hAnsi="Century"/>
        </w:rPr>
      </w:pPr>
      <w:r w:rsidRPr="002C13F3">
        <w:rPr>
          <w:rFonts w:ascii="Century" w:hAnsi="Century"/>
          <w:bCs/>
        </w:rPr>
        <w:t xml:space="preserve">d) </w:t>
      </w:r>
      <w:r w:rsidR="0044224F">
        <w:rPr>
          <w:rFonts w:ascii="Century" w:hAnsi="Century"/>
        </w:rPr>
        <w:t>adquisiciones de</w:t>
      </w:r>
      <w:r w:rsidRPr="002C13F3">
        <w:rPr>
          <w:rFonts w:ascii="Century" w:hAnsi="Century"/>
        </w:rPr>
        <w:t xml:space="preserve"> colaterales de cuarto grado, grados más distantes y extraños, no habrá lugar a reducción.</w:t>
      </w:r>
    </w:p>
    <w:p w:rsidR="007511E9" w:rsidRPr="002C13F3" w:rsidRDefault="007511E9" w:rsidP="007511E9">
      <w:pPr>
        <w:pStyle w:val="NormalWeb"/>
        <w:spacing w:before="240" w:beforeAutospacing="0" w:after="240" w:afterAutospacing="0" w:line="360" w:lineRule="auto"/>
        <w:ind w:left="709"/>
        <w:jc w:val="both"/>
        <w:rPr>
          <w:rFonts w:ascii="Century" w:hAnsi="Century"/>
        </w:rPr>
      </w:pPr>
    </w:p>
    <w:p w:rsidR="00DB54E9" w:rsidRPr="002C13F3" w:rsidRDefault="0044224F" w:rsidP="002D11BC">
      <w:pPr>
        <w:pStyle w:val="NormalWeb"/>
        <w:spacing w:before="0" w:beforeAutospacing="0" w:after="240" w:afterAutospacing="0" w:line="360" w:lineRule="auto"/>
        <w:jc w:val="both"/>
        <w:rPr>
          <w:rFonts w:ascii="Century" w:hAnsi="Century"/>
        </w:rPr>
      </w:pPr>
      <w:r>
        <w:rPr>
          <w:rFonts w:ascii="Century" w:hAnsi="Century"/>
        </w:rPr>
        <w:lastRenderedPageBreak/>
        <w:tab/>
        <w:t>En Madrid, se aplica la</w:t>
      </w:r>
      <w:r w:rsidR="00DB54E9" w:rsidRPr="002C13F3">
        <w:rPr>
          <w:rFonts w:ascii="Century" w:hAnsi="Century"/>
        </w:rPr>
        <w:t xml:space="preserve"> reducción</w:t>
      </w:r>
      <w:r>
        <w:rPr>
          <w:rFonts w:ascii="Century" w:hAnsi="Century"/>
        </w:rPr>
        <w:t xml:space="preserve"> del siguiente modo</w:t>
      </w:r>
      <w:r w:rsidR="00DB54E9" w:rsidRPr="00514069">
        <w:rPr>
          <w:rFonts w:asciiTheme="minorHAnsi" w:hAnsiTheme="minorHAnsi" w:cstheme="minorHAnsi"/>
        </w:rPr>
        <w:t>:</w:t>
      </w:r>
      <w:r w:rsidR="00DB54E9" w:rsidRPr="002C13F3">
        <w:rPr>
          <w:rFonts w:ascii="Century" w:hAnsi="Century"/>
        </w:rPr>
        <w:t xml:space="preserve"> </w:t>
      </w:r>
    </w:p>
    <w:p w:rsidR="00DB54E9" w:rsidRPr="002C13F3" w:rsidRDefault="00DB54E9" w:rsidP="005E15A5">
      <w:pPr>
        <w:pStyle w:val="NormalWeb"/>
        <w:spacing w:before="0" w:beforeAutospacing="0" w:after="240" w:afterAutospacing="0" w:line="360" w:lineRule="auto"/>
        <w:ind w:left="709"/>
        <w:jc w:val="both"/>
        <w:rPr>
          <w:rFonts w:ascii="Century" w:hAnsi="Century"/>
        </w:rPr>
      </w:pPr>
      <w:r w:rsidRPr="002C13F3">
        <w:rPr>
          <w:rFonts w:ascii="Century" w:hAnsi="Century"/>
        </w:rPr>
        <w:t xml:space="preserve">a) </w:t>
      </w:r>
      <w:r w:rsidR="0044224F">
        <w:rPr>
          <w:rFonts w:ascii="Century" w:hAnsi="Century"/>
        </w:rPr>
        <w:t xml:space="preserve">por </w:t>
      </w:r>
      <w:r w:rsidRPr="002C13F3">
        <w:rPr>
          <w:rFonts w:ascii="Century" w:hAnsi="Century"/>
        </w:rPr>
        <w:t>adquisiciones</w:t>
      </w:r>
      <w:r w:rsidR="0044224F">
        <w:rPr>
          <w:rFonts w:ascii="Century" w:hAnsi="Century"/>
        </w:rPr>
        <w:t xml:space="preserve"> de</w:t>
      </w:r>
      <w:r w:rsidRPr="002C13F3">
        <w:rPr>
          <w:rFonts w:ascii="Century" w:hAnsi="Century"/>
        </w:rPr>
        <w:t xml:space="preserve"> descendientes y adoptados menores de veintiún años, 16.000 euros, más 4.000 euros por cada año menos de veintiuno que tenga el causahabiente, sin que la reducción pueda exceder de 48.000 euros.</w:t>
      </w:r>
    </w:p>
    <w:p w:rsidR="00DB54E9" w:rsidRPr="002C13F3" w:rsidRDefault="00DB54E9" w:rsidP="005E15A5">
      <w:pPr>
        <w:pStyle w:val="NormalWeb"/>
        <w:spacing w:before="0" w:beforeAutospacing="0" w:after="240" w:afterAutospacing="0" w:line="360" w:lineRule="auto"/>
        <w:ind w:left="709"/>
        <w:jc w:val="both"/>
        <w:rPr>
          <w:rFonts w:ascii="Century" w:hAnsi="Century"/>
        </w:rPr>
      </w:pPr>
      <w:r w:rsidRPr="002C13F3">
        <w:rPr>
          <w:rFonts w:ascii="Century" w:hAnsi="Century"/>
        </w:rPr>
        <w:t xml:space="preserve">b) </w:t>
      </w:r>
      <w:r w:rsidR="0044224F">
        <w:rPr>
          <w:rFonts w:ascii="Century" w:hAnsi="Century"/>
        </w:rPr>
        <w:t xml:space="preserve">por </w:t>
      </w:r>
      <w:r w:rsidRPr="002C13F3">
        <w:rPr>
          <w:rFonts w:ascii="Century" w:hAnsi="Century"/>
        </w:rPr>
        <w:t xml:space="preserve">adquisiciones </w:t>
      </w:r>
      <w:r w:rsidR="0044224F">
        <w:rPr>
          <w:rFonts w:ascii="Century" w:hAnsi="Century"/>
        </w:rPr>
        <w:t>de</w:t>
      </w:r>
      <w:r w:rsidRPr="002C13F3">
        <w:rPr>
          <w:rFonts w:ascii="Century" w:hAnsi="Century"/>
        </w:rPr>
        <w:t xml:space="preserve"> descendientes y adoptados de veintiuno o más años, cónyuges, ascendientes y adoptantes, 16.000 euros.</w:t>
      </w:r>
    </w:p>
    <w:p w:rsidR="00DB54E9" w:rsidRPr="002C13F3" w:rsidRDefault="00DB54E9" w:rsidP="005E15A5">
      <w:pPr>
        <w:pStyle w:val="NormalWeb"/>
        <w:spacing w:before="0" w:beforeAutospacing="0" w:after="240" w:afterAutospacing="0" w:line="360" w:lineRule="auto"/>
        <w:ind w:left="709"/>
        <w:jc w:val="both"/>
        <w:rPr>
          <w:rFonts w:ascii="Century" w:hAnsi="Century"/>
        </w:rPr>
      </w:pPr>
      <w:r w:rsidRPr="002C13F3">
        <w:rPr>
          <w:rFonts w:ascii="Century" w:hAnsi="Century"/>
        </w:rPr>
        <w:t>c)</w:t>
      </w:r>
      <w:r w:rsidR="0044224F">
        <w:rPr>
          <w:rFonts w:ascii="Century" w:hAnsi="Century"/>
        </w:rPr>
        <w:t xml:space="preserve"> por adquisiciones de</w:t>
      </w:r>
      <w:r w:rsidRPr="002C13F3">
        <w:rPr>
          <w:rFonts w:ascii="Century" w:hAnsi="Century"/>
        </w:rPr>
        <w:t xml:space="preserve"> colaterales de segundo y tercer grado, ascendientes y descendientes por afinidad, 8.000 euros.</w:t>
      </w:r>
    </w:p>
    <w:p w:rsidR="00DB54E9" w:rsidRPr="002C13F3" w:rsidRDefault="00DB54E9" w:rsidP="005E15A5">
      <w:pPr>
        <w:pStyle w:val="NormalWeb"/>
        <w:spacing w:before="0" w:beforeAutospacing="0" w:after="240" w:afterAutospacing="0" w:line="360" w:lineRule="auto"/>
        <w:ind w:left="709"/>
        <w:jc w:val="both"/>
        <w:rPr>
          <w:rFonts w:ascii="Century" w:hAnsi="Century"/>
        </w:rPr>
      </w:pPr>
      <w:r w:rsidRPr="002C13F3">
        <w:rPr>
          <w:rFonts w:ascii="Century" w:hAnsi="Century"/>
        </w:rPr>
        <w:t>d)</w:t>
      </w:r>
      <w:r w:rsidR="0044224F">
        <w:rPr>
          <w:rFonts w:ascii="Century" w:hAnsi="Century"/>
        </w:rPr>
        <w:t xml:space="preserve"> por</w:t>
      </w:r>
      <w:r w:rsidRPr="002C13F3">
        <w:rPr>
          <w:rFonts w:ascii="Century" w:hAnsi="Century"/>
        </w:rPr>
        <w:t xml:space="preserve"> adquisiciones</w:t>
      </w:r>
      <w:r w:rsidR="0044224F">
        <w:rPr>
          <w:rFonts w:ascii="Century" w:hAnsi="Century"/>
        </w:rPr>
        <w:t xml:space="preserve"> de</w:t>
      </w:r>
      <w:r w:rsidRPr="002C13F3">
        <w:rPr>
          <w:rFonts w:ascii="Century" w:hAnsi="Century"/>
        </w:rPr>
        <w:t xml:space="preserve"> colaterales de cuarto grado, grados más distantes y extraños, no habrá reducción.</w:t>
      </w:r>
    </w:p>
    <w:p w:rsidR="00DB54E9" w:rsidRPr="002C13F3" w:rsidRDefault="00DB54E9" w:rsidP="002D11BC">
      <w:pPr>
        <w:pStyle w:val="NormalWeb"/>
        <w:spacing w:before="0" w:beforeAutospacing="0" w:after="240" w:afterAutospacing="0" w:line="360" w:lineRule="auto"/>
        <w:jc w:val="both"/>
        <w:rPr>
          <w:rFonts w:ascii="Century" w:hAnsi="Century"/>
        </w:rPr>
      </w:pPr>
      <w:r w:rsidRPr="002C13F3">
        <w:rPr>
          <w:rFonts w:ascii="Century" w:hAnsi="Century"/>
        </w:rPr>
        <w:tab/>
        <w:t>En Valencia, la reducción</w:t>
      </w:r>
      <w:r w:rsidR="001E143E">
        <w:rPr>
          <w:rFonts w:ascii="Century" w:hAnsi="Century"/>
        </w:rPr>
        <w:t xml:space="preserve"> prevista lo es</w:t>
      </w:r>
      <w:r w:rsidRPr="002C13F3">
        <w:rPr>
          <w:rFonts w:ascii="Century" w:hAnsi="Century"/>
        </w:rPr>
        <w:t xml:space="preserve"> para las adquisiciones </w:t>
      </w:r>
      <w:r w:rsidR="001E143E">
        <w:rPr>
          <w:rFonts w:ascii="Century" w:hAnsi="Century"/>
        </w:rPr>
        <w:t>de</w:t>
      </w:r>
      <w:r w:rsidRPr="002C13F3">
        <w:rPr>
          <w:rFonts w:ascii="Century" w:hAnsi="Century"/>
        </w:rPr>
        <w:t xml:space="preserve"> descendientes y adoptados menores de veintiún años, 100.000 euros, más 8.000 euros por cada año menos de veintiuno que tenga el causahabiente, sin que la reducción pueda exceder de 156.000 euros</w:t>
      </w:r>
      <w:r w:rsidRPr="00EC29FC">
        <w:rPr>
          <w:rFonts w:asciiTheme="minorHAnsi" w:hAnsiTheme="minorHAnsi" w:cstheme="minorHAnsi"/>
        </w:rPr>
        <w:t>;</w:t>
      </w:r>
      <w:r w:rsidRPr="002C13F3">
        <w:rPr>
          <w:rFonts w:ascii="Century" w:hAnsi="Century"/>
        </w:rPr>
        <w:t xml:space="preserve"> y</w:t>
      </w:r>
      <w:r w:rsidR="001E143E">
        <w:rPr>
          <w:rFonts w:ascii="Century" w:hAnsi="Century"/>
        </w:rPr>
        <w:t>,</w:t>
      </w:r>
      <w:r w:rsidRPr="002C13F3">
        <w:rPr>
          <w:rFonts w:ascii="Century" w:hAnsi="Century"/>
        </w:rPr>
        <w:t xml:space="preserve"> en las adquisiciones </w:t>
      </w:r>
      <w:r w:rsidR="001E143E">
        <w:rPr>
          <w:rFonts w:ascii="Century" w:hAnsi="Century"/>
        </w:rPr>
        <w:t>de</w:t>
      </w:r>
      <w:r w:rsidRPr="002C13F3">
        <w:rPr>
          <w:rFonts w:ascii="Century" w:hAnsi="Century"/>
        </w:rPr>
        <w:t xml:space="preserve"> descendientes y adoptados de veintiuno o más años, cónyuges, ascendientes y adoptantes, 100.000 euros.</w:t>
      </w:r>
    </w:p>
    <w:p w:rsidR="00DB54E9" w:rsidRDefault="00DB54E9" w:rsidP="002D11BC">
      <w:pPr>
        <w:pStyle w:val="NormalWeb"/>
        <w:spacing w:before="0" w:beforeAutospacing="0" w:after="240" w:afterAutospacing="0" w:line="360" w:lineRule="auto"/>
        <w:jc w:val="both"/>
        <w:rPr>
          <w:rFonts w:ascii="Century" w:hAnsi="Century"/>
        </w:rPr>
      </w:pPr>
      <w:r w:rsidRPr="002C13F3">
        <w:rPr>
          <w:rFonts w:ascii="Century" w:hAnsi="Century"/>
        </w:rPr>
        <w:tab/>
      </w:r>
      <w:r w:rsidR="001E143E">
        <w:rPr>
          <w:rFonts w:ascii="Century" w:hAnsi="Century"/>
        </w:rPr>
        <w:t>Respecto</w:t>
      </w:r>
      <w:r w:rsidRPr="002C13F3">
        <w:rPr>
          <w:rFonts w:ascii="Century" w:hAnsi="Century"/>
        </w:rPr>
        <w:t xml:space="preserve"> a las Comunidades Forales, en el País Vasco, distinguimos entre sus tres provincias</w:t>
      </w:r>
      <w:r w:rsidRPr="00514069">
        <w:rPr>
          <w:rFonts w:asciiTheme="minorHAnsi" w:hAnsiTheme="minorHAnsi" w:cstheme="minorHAnsi"/>
        </w:rPr>
        <w:t>:</w:t>
      </w:r>
      <w:r w:rsidRPr="002C13F3">
        <w:rPr>
          <w:rFonts w:ascii="Century" w:hAnsi="Century"/>
        </w:rPr>
        <w:t xml:space="preserve"> Álava, Guipúzcoa y Vizcaya, ya que cada una tiene un régimen autonómico independiente, y por tanto, normativas diferentes. No obstante, </w:t>
      </w:r>
      <w:r w:rsidR="001E143E">
        <w:rPr>
          <w:rFonts w:ascii="Century" w:hAnsi="Century"/>
        </w:rPr>
        <w:t>el</w:t>
      </w:r>
      <w:r w:rsidRPr="002C13F3">
        <w:rPr>
          <w:rFonts w:ascii="Century" w:hAnsi="Century"/>
        </w:rPr>
        <w:t xml:space="preserve"> tipo de reducción es casi similar en los tres territorios. Para las adquisiciones </w:t>
      </w:r>
      <w:r w:rsidR="001E143E">
        <w:rPr>
          <w:rFonts w:ascii="Century" w:hAnsi="Century"/>
        </w:rPr>
        <w:t>d</w:t>
      </w:r>
      <w:r w:rsidRPr="002C13F3">
        <w:rPr>
          <w:rFonts w:ascii="Century" w:hAnsi="Century"/>
        </w:rPr>
        <w:t xml:space="preserve">el cónyuge o pareja de hecho, descendientes o ascendientes en línea recta por consanguinidad o adoptantes o adoptados, la reducción será de 400.000 euros. En el caso de colaterales de segundo y tercer grado por consanguinidad, ascendientes y descendientes por afinidad, la reducción será de 38.156 euros (Álava) y 16.150 euros (Guipúzcoa). </w:t>
      </w:r>
      <w:r w:rsidR="001E143E">
        <w:rPr>
          <w:rFonts w:ascii="Century" w:hAnsi="Century"/>
        </w:rPr>
        <w:t>Vizcaya</w:t>
      </w:r>
      <w:r w:rsidRPr="002C13F3">
        <w:rPr>
          <w:rFonts w:ascii="Century" w:hAnsi="Century"/>
        </w:rPr>
        <w:t xml:space="preserve"> aplica una reducción de 40.000 euros para los de segundo grado y de 20.000 euros para los de tercer grado. En las adquisiciones </w:t>
      </w:r>
      <w:r w:rsidR="001E143E">
        <w:rPr>
          <w:rFonts w:ascii="Century" w:hAnsi="Century"/>
        </w:rPr>
        <w:t>de</w:t>
      </w:r>
      <w:r w:rsidRPr="002C13F3">
        <w:rPr>
          <w:rFonts w:ascii="Century" w:hAnsi="Century"/>
        </w:rPr>
        <w:t xml:space="preserve"> colaterales de cuarto grado, colaterales de segundo y tercer grado por afinidad, grados más </w:t>
      </w:r>
      <w:r w:rsidRPr="002C13F3">
        <w:rPr>
          <w:rFonts w:ascii="Century" w:hAnsi="Century"/>
        </w:rPr>
        <w:lastRenderedPageBreak/>
        <w:t>distantes y extraños, no hay lugar a reducción en Álava y Vizcaya. No obstante, en Guipúzcoa se establecerá una reducción de 8.075 euros.</w:t>
      </w:r>
    </w:p>
    <w:p w:rsidR="001E143E" w:rsidRDefault="001E143E" w:rsidP="002D11BC">
      <w:pPr>
        <w:pStyle w:val="NormalWeb"/>
        <w:spacing w:before="0" w:beforeAutospacing="0" w:after="240" w:afterAutospacing="0" w:line="360" w:lineRule="auto"/>
        <w:jc w:val="both"/>
        <w:rPr>
          <w:rFonts w:ascii="Century" w:hAnsi="Century"/>
        </w:rPr>
      </w:pPr>
      <w:r>
        <w:rPr>
          <w:rFonts w:ascii="Century" w:hAnsi="Century"/>
        </w:rPr>
        <w:tab/>
        <w:t>Actualizadas las reducciones autonómicas establecidas por razón del vínculo familiar, cabe indicar por último que lógicamente si una Comunidad Autónoma no hubiera regulado sus propias reducciones, se prevén por la normativa general del impuesto una serie de reducciones.</w:t>
      </w:r>
      <w:r w:rsidR="007937A7">
        <w:rPr>
          <w:rFonts w:ascii="Century" w:hAnsi="Century"/>
        </w:rPr>
        <w:t xml:space="preserve"> Así:</w:t>
      </w:r>
    </w:p>
    <w:p w:rsidR="00DB54E9" w:rsidRPr="002C13F3" w:rsidRDefault="00DB54E9" w:rsidP="00DB7E07">
      <w:pPr>
        <w:pStyle w:val="parrafo2"/>
        <w:spacing w:before="0" w:beforeAutospacing="0" w:after="240" w:afterAutospacing="0" w:line="360" w:lineRule="auto"/>
        <w:ind w:left="709"/>
        <w:jc w:val="both"/>
        <w:rPr>
          <w:rFonts w:ascii="Century" w:hAnsi="Century"/>
        </w:rPr>
      </w:pPr>
      <w:r w:rsidRPr="002C13F3">
        <w:rPr>
          <w:rFonts w:ascii="Century" w:hAnsi="Century"/>
        </w:rPr>
        <w:t>a)</w:t>
      </w:r>
      <w:r w:rsidR="007937A7">
        <w:rPr>
          <w:rFonts w:ascii="Century" w:hAnsi="Century"/>
        </w:rPr>
        <w:t xml:space="preserve"> las</w:t>
      </w:r>
      <w:r w:rsidRPr="002C13F3">
        <w:rPr>
          <w:rFonts w:ascii="Century" w:hAnsi="Century"/>
        </w:rPr>
        <w:t xml:space="preserve"> adquisiciones por descendientes y adoptados menores de veintiún años, </w:t>
      </w:r>
      <w:r w:rsidR="007937A7">
        <w:rPr>
          <w:rFonts w:ascii="Century" w:hAnsi="Century"/>
        </w:rPr>
        <w:t xml:space="preserve">dispondrán de una reducción de </w:t>
      </w:r>
      <w:r w:rsidRPr="002C13F3">
        <w:rPr>
          <w:rFonts w:ascii="Century" w:hAnsi="Century"/>
        </w:rPr>
        <w:t>15.956,87 euros, más 3.990,72 euros por cada año menos de veintiuno que tenga el causahabiente, sin pueda exceder de 47.858,59 euros.</w:t>
      </w:r>
    </w:p>
    <w:p w:rsidR="00DB54E9" w:rsidRPr="002C13F3" w:rsidRDefault="00DB54E9" w:rsidP="00DB7E07">
      <w:pPr>
        <w:pStyle w:val="parrafo"/>
        <w:spacing w:before="0" w:beforeAutospacing="0" w:after="240" w:afterAutospacing="0" w:line="360" w:lineRule="auto"/>
        <w:ind w:left="709"/>
        <w:jc w:val="both"/>
        <w:rPr>
          <w:rFonts w:ascii="Century" w:hAnsi="Century"/>
        </w:rPr>
      </w:pPr>
      <w:r w:rsidRPr="002C13F3">
        <w:rPr>
          <w:rFonts w:ascii="Century" w:hAnsi="Century"/>
        </w:rPr>
        <w:t xml:space="preserve">b) </w:t>
      </w:r>
      <w:r w:rsidR="007937A7">
        <w:rPr>
          <w:rFonts w:ascii="Century" w:hAnsi="Century"/>
        </w:rPr>
        <w:t xml:space="preserve">las </w:t>
      </w:r>
      <w:r w:rsidRPr="002C13F3">
        <w:rPr>
          <w:rFonts w:ascii="Century" w:hAnsi="Century"/>
        </w:rPr>
        <w:t xml:space="preserve">adquisiciones por descendientes y adoptados de veintiuno o más años, cónyuges, ascendientes y adoptantes, </w:t>
      </w:r>
      <w:r w:rsidR="007937A7">
        <w:rPr>
          <w:rFonts w:ascii="Century" w:hAnsi="Century"/>
        </w:rPr>
        <w:t xml:space="preserve">de </w:t>
      </w:r>
      <w:r w:rsidRPr="002C13F3">
        <w:rPr>
          <w:rFonts w:ascii="Century" w:hAnsi="Century"/>
        </w:rPr>
        <w:t>15.956,87 euros.</w:t>
      </w:r>
    </w:p>
    <w:p w:rsidR="00DB54E9" w:rsidRPr="002C13F3" w:rsidRDefault="00DB54E9" w:rsidP="00DB7E07">
      <w:pPr>
        <w:pStyle w:val="parrafo"/>
        <w:spacing w:before="0" w:beforeAutospacing="0" w:after="240" w:afterAutospacing="0" w:line="360" w:lineRule="auto"/>
        <w:ind w:left="709"/>
        <w:jc w:val="both"/>
        <w:rPr>
          <w:rFonts w:ascii="Century" w:hAnsi="Century"/>
        </w:rPr>
      </w:pPr>
      <w:r w:rsidRPr="002C13F3">
        <w:rPr>
          <w:rFonts w:ascii="Century" w:hAnsi="Century"/>
        </w:rPr>
        <w:t>c)</w:t>
      </w:r>
      <w:r w:rsidR="007937A7">
        <w:rPr>
          <w:rFonts w:ascii="Century" w:hAnsi="Century"/>
        </w:rPr>
        <w:t xml:space="preserve"> las</w:t>
      </w:r>
      <w:r w:rsidRPr="002C13F3">
        <w:rPr>
          <w:rFonts w:ascii="Century" w:hAnsi="Century"/>
        </w:rPr>
        <w:t xml:space="preserve"> adquisiciones por colaterales de segundo y tercer grado, ascendientes y descendientes por afinidad,</w:t>
      </w:r>
      <w:r w:rsidR="007937A7">
        <w:rPr>
          <w:rFonts w:ascii="Century" w:hAnsi="Century"/>
        </w:rPr>
        <w:t xml:space="preserve"> de</w:t>
      </w:r>
      <w:r w:rsidRPr="002C13F3">
        <w:rPr>
          <w:rFonts w:ascii="Century" w:hAnsi="Century"/>
        </w:rPr>
        <w:t xml:space="preserve"> 7.993,46 euros.</w:t>
      </w:r>
    </w:p>
    <w:p w:rsidR="00DB54E9" w:rsidRDefault="007937A7" w:rsidP="00DB7E07">
      <w:pPr>
        <w:pStyle w:val="parrafo"/>
        <w:spacing w:before="0" w:beforeAutospacing="0" w:after="240" w:afterAutospacing="0" w:line="360" w:lineRule="auto"/>
        <w:ind w:left="709"/>
        <w:jc w:val="both"/>
        <w:rPr>
          <w:rFonts w:ascii="Century" w:hAnsi="Century"/>
        </w:rPr>
      </w:pPr>
      <w:r>
        <w:rPr>
          <w:rFonts w:ascii="Century" w:hAnsi="Century"/>
        </w:rPr>
        <w:t>d) las adquisiciones de</w:t>
      </w:r>
      <w:r w:rsidR="00DB54E9" w:rsidRPr="002C13F3">
        <w:rPr>
          <w:rFonts w:ascii="Century" w:hAnsi="Century"/>
        </w:rPr>
        <w:t xml:space="preserve"> colaterales de cuarto grado, grados más distantes y extraños, no habrá reducción.</w:t>
      </w:r>
    </w:p>
    <w:p w:rsidR="00DB54E9" w:rsidRPr="007937A7" w:rsidRDefault="007937A7" w:rsidP="002D11BC">
      <w:pPr>
        <w:pStyle w:val="parrafo"/>
        <w:spacing w:before="0" w:beforeAutospacing="0" w:after="240" w:afterAutospacing="0" w:line="360" w:lineRule="auto"/>
        <w:jc w:val="both"/>
        <w:rPr>
          <w:rFonts w:ascii="Century" w:hAnsi="Century"/>
          <w:color w:val="FF0000"/>
        </w:rPr>
      </w:pPr>
      <w:r>
        <w:rPr>
          <w:rFonts w:ascii="Century" w:hAnsi="Century"/>
        </w:rPr>
        <w:tab/>
        <w:t>Junto al vínculo y cercanía de parentesco entre causante y causahabiente se</w:t>
      </w:r>
      <w:r w:rsidR="00923AC5">
        <w:rPr>
          <w:rFonts w:ascii="Century" w:hAnsi="Century"/>
        </w:rPr>
        <w:t xml:space="preserve"> </w:t>
      </w:r>
      <w:r w:rsidR="00902E16">
        <w:rPr>
          <w:rFonts w:ascii="Century" w:hAnsi="Century"/>
        </w:rPr>
        <w:t>fijan</w:t>
      </w:r>
      <w:r>
        <w:rPr>
          <w:rFonts w:ascii="Century" w:hAnsi="Century"/>
        </w:rPr>
        <w:t xml:space="preserve"> </w:t>
      </w:r>
      <w:r w:rsidR="00902E16">
        <w:rPr>
          <w:rFonts w:ascii="Century" w:hAnsi="Century"/>
        </w:rPr>
        <w:t>otras</w:t>
      </w:r>
      <w:r>
        <w:rPr>
          <w:rFonts w:ascii="Century" w:hAnsi="Century"/>
        </w:rPr>
        <w:t xml:space="preserve"> reducciones por </w:t>
      </w:r>
      <w:r w:rsidR="00902E16">
        <w:rPr>
          <w:rFonts w:ascii="Century" w:hAnsi="Century"/>
        </w:rPr>
        <w:t>determinadas</w:t>
      </w:r>
      <w:r>
        <w:rPr>
          <w:rFonts w:ascii="Century" w:hAnsi="Century"/>
        </w:rPr>
        <w:t xml:space="preserve"> circunstancias qu</w:t>
      </w:r>
      <w:r w:rsidR="00902E16">
        <w:rPr>
          <w:rFonts w:ascii="Century" w:hAnsi="Century"/>
        </w:rPr>
        <w:t>e afecten a estos últimos. C</w:t>
      </w:r>
      <w:r w:rsidR="00DB54E9" w:rsidRPr="002C13F3">
        <w:rPr>
          <w:rFonts w:ascii="Century" w:hAnsi="Century"/>
        </w:rPr>
        <w:t xml:space="preserve">asi todas las CCAA </w:t>
      </w:r>
      <w:r w:rsidR="00F97158">
        <w:rPr>
          <w:rFonts w:ascii="Century" w:hAnsi="Century"/>
        </w:rPr>
        <w:t>establecen</w:t>
      </w:r>
      <w:r w:rsidR="00DB54E9" w:rsidRPr="002C13F3">
        <w:rPr>
          <w:rFonts w:ascii="Century" w:hAnsi="Century"/>
        </w:rPr>
        <w:t xml:space="preserve"> </w:t>
      </w:r>
      <w:r>
        <w:rPr>
          <w:rFonts w:ascii="Century" w:hAnsi="Century"/>
        </w:rPr>
        <w:t>reduccio</w:t>
      </w:r>
      <w:r w:rsidR="00DB54E9" w:rsidRPr="002C13F3">
        <w:rPr>
          <w:rFonts w:ascii="Century" w:hAnsi="Century"/>
        </w:rPr>
        <w:t>n</w:t>
      </w:r>
      <w:r>
        <w:rPr>
          <w:rFonts w:ascii="Century" w:hAnsi="Century"/>
        </w:rPr>
        <w:t>es a favor de adquirentes</w:t>
      </w:r>
      <w:r w:rsidR="00DB54E9" w:rsidRPr="002C13F3">
        <w:rPr>
          <w:rFonts w:ascii="Century" w:hAnsi="Century"/>
        </w:rPr>
        <w:t xml:space="preserve"> que tengan la consideración legal de minusválidos,</w:t>
      </w:r>
      <w:r>
        <w:rPr>
          <w:rFonts w:ascii="Century" w:hAnsi="Century"/>
        </w:rPr>
        <w:t xml:space="preserve"> y</w:t>
      </w:r>
      <w:r w:rsidR="00DB54E9" w:rsidRPr="002C13F3">
        <w:rPr>
          <w:rFonts w:ascii="Century" w:hAnsi="Century"/>
        </w:rPr>
        <w:t xml:space="preserve"> </w:t>
      </w:r>
      <w:r w:rsidR="00F97158">
        <w:rPr>
          <w:rFonts w:ascii="Century" w:hAnsi="Century"/>
        </w:rPr>
        <w:t xml:space="preserve">según </w:t>
      </w:r>
      <w:r w:rsidR="00DB54E9" w:rsidRPr="002C13F3">
        <w:rPr>
          <w:rFonts w:ascii="Century" w:hAnsi="Century"/>
        </w:rPr>
        <w:t>el grado de discapacidad</w:t>
      </w:r>
      <w:r>
        <w:rPr>
          <w:rFonts w:ascii="Century" w:hAnsi="Century"/>
        </w:rPr>
        <w:t>, excepto en Asturias, La Rioja</w:t>
      </w:r>
      <w:r w:rsidR="00DB54E9" w:rsidRPr="002C13F3">
        <w:rPr>
          <w:rFonts w:ascii="Century" w:hAnsi="Century"/>
        </w:rPr>
        <w:t xml:space="preserve"> y Murcia. </w:t>
      </w:r>
      <w:r>
        <w:rPr>
          <w:rFonts w:ascii="Century" w:hAnsi="Century"/>
        </w:rPr>
        <w:t>S</w:t>
      </w:r>
      <w:r w:rsidR="00DB54E9" w:rsidRPr="002C13F3">
        <w:rPr>
          <w:rFonts w:ascii="Century" w:hAnsi="Century"/>
        </w:rPr>
        <w:t xml:space="preserve">i el grado de minusvalía es igual o superior al 33 por ciento e inferior al 65 por ciento, las CCAA </w:t>
      </w:r>
      <w:r>
        <w:rPr>
          <w:rFonts w:ascii="Century" w:hAnsi="Century"/>
        </w:rPr>
        <w:t xml:space="preserve">que </w:t>
      </w:r>
      <w:r w:rsidR="00F97158">
        <w:rPr>
          <w:rFonts w:ascii="Century" w:hAnsi="Century"/>
        </w:rPr>
        <w:t>establecen</w:t>
      </w:r>
      <w:r>
        <w:rPr>
          <w:rFonts w:ascii="Century" w:hAnsi="Century"/>
        </w:rPr>
        <w:t xml:space="preserve"> </w:t>
      </w:r>
      <w:r w:rsidR="00DB54E9" w:rsidRPr="002C13F3">
        <w:rPr>
          <w:rFonts w:ascii="Century" w:hAnsi="Century"/>
        </w:rPr>
        <w:t>reducciones</w:t>
      </w:r>
      <w:r>
        <w:rPr>
          <w:rFonts w:ascii="Century" w:hAnsi="Century"/>
        </w:rPr>
        <w:t xml:space="preserve"> son</w:t>
      </w:r>
      <w:r w:rsidR="00DB54E9" w:rsidRPr="00514069">
        <w:rPr>
          <w:rFonts w:cstheme="minorHAnsi"/>
        </w:rPr>
        <w:t>:</w:t>
      </w:r>
      <w:r w:rsidR="00DB54E9" w:rsidRPr="002C13F3">
        <w:rPr>
          <w:rFonts w:ascii="Century" w:hAnsi="Century"/>
        </w:rPr>
        <w:t xml:space="preserve"> Baleares, de 48.000 euros (</w:t>
      </w:r>
      <w:r w:rsidR="00F97158">
        <w:rPr>
          <w:rFonts w:ascii="Century" w:hAnsi="Century"/>
        </w:rPr>
        <w:t xml:space="preserve">si la minusvalía es </w:t>
      </w:r>
      <w:r w:rsidR="00DB54E9" w:rsidRPr="002C13F3">
        <w:rPr>
          <w:rFonts w:ascii="Century" w:hAnsi="Century"/>
        </w:rPr>
        <w:t>física o sensorial)</w:t>
      </w:r>
      <w:r w:rsidR="00DB54E9" w:rsidRPr="007937A7">
        <w:rPr>
          <w:rFonts w:asciiTheme="minorHAnsi" w:hAnsiTheme="minorHAnsi" w:cstheme="minorHAnsi"/>
        </w:rPr>
        <w:t>;</w:t>
      </w:r>
      <w:r w:rsidR="00DB54E9" w:rsidRPr="002C13F3">
        <w:rPr>
          <w:rFonts w:ascii="Century" w:hAnsi="Century"/>
        </w:rPr>
        <w:t xml:space="preserve"> Canarias, de 72.000 euros</w:t>
      </w:r>
      <w:r w:rsidR="00DB54E9" w:rsidRPr="007937A7">
        <w:rPr>
          <w:rFonts w:asciiTheme="minorHAnsi" w:hAnsiTheme="minorHAnsi" w:cstheme="minorHAnsi"/>
        </w:rPr>
        <w:t xml:space="preserve">; </w:t>
      </w:r>
      <w:r w:rsidR="00DB54E9" w:rsidRPr="002C13F3">
        <w:rPr>
          <w:rFonts w:ascii="Century" w:hAnsi="Century"/>
        </w:rPr>
        <w:t>Cantabria, de 50.000 euros</w:t>
      </w:r>
      <w:r w:rsidR="00DB54E9" w:rsidRPr="007937A7">
        <w:rPr>
          <w:rFonts w:asciiTheme="minorHAnsi" w:hAnsiTheme="minorHAnsi" w:cstheme="minorHAnsi"/>
        </w:rPr>
        <w:t>;</w:t>
      </w:r>
      <w:r w:rsidR="00DB54E9" w:rsidRPr="002C13F3">
        <w:rPr>
          <w:rFonts w:ascii="Century" w:hAnsi="Century"/>
        </w:rPr>
        <w:t xml:space="preserve"> Castilla-La Mancha </w:t>
      </w:r>
      <w:r>
        <w:rPr>
          <w:rFonts w:ascii="Century" w:hAnsi="Century"/>
        </w:rPr>
        <w:t>y</w:t>
      </w:r>
      <w:r w:rsidR="00DB54E9" w:rsidRPr="002C13F3">
        <w:rPr>
          <w:rFonts w:ascii="Century" w:hAnsi="Century"/>
        </w:rPr>
        <w:t xml:space="preserve"> Castilla y León, de 125.000 euros</w:t>
      </w:r>
      <w:r w:rsidR="00DB54E9" w:rsidRPr="007937A7">
        <w:rPr>
          <w:rFonts w:asciiTheme="minorHAnsi" w:hAnsiTheme="minorHAnsi" w:cstheme="minorHAnsi"/>
        </w:rPr>
        <w:t>;</w:t>
      </w:r>
      <w:r w:rsidR="00DB54E9" w:rsidRPr="002C13F3">
        <w:rPr>
          <w:rFonts w:ascii="Century" w:hAnsi="Century"/>
        </w:rPr>
        <w:t xml:space="preserve"> Galicia, de 150.000 euros</w:t>
      </w:r>
      <w:r w:rsidR="00DB54E9" w:rsidRPr="007937A7">
        <w:rPr>
          <w:rFonts w:asciiTheme="minorHAnsi" w:hAnsiTheme="minorHAnsi" w:cstheme="minorHAnsi"/>
        </w:rPr>
        <w:t>;</w:t>
      </w:r>
      <w:r w:rsidR="00DB54E9" w:rsidRPr="002C13F3">
        <w:rPr>
          <w:rFonts w:ascii="Century" w:hAnsi="Century"/>
        </w:rPr>
        <w:t xml:space="preserve"> Madrid, de 55.000 euros</w:t>
      </w:r>
      <w:r w:rsidR="00DB54E9" w:rsidRPr="007937A7">
        <w:rPr>
          <w:rFonts w:asciiTheme="minorHAnsi" w:hAnsiTheme="minorHAnsi" w:cstheme="minorHAnsi"/>
        </w:rPr>
        <w:t>;</w:t>
      </w:r>
      <w:r w:rsidR="00DB54E9" w:rsidRPr="002C13F3">
        <w:rPr>
          <w:rFonts w:ascii="Century" w:hAnsi="Century"/>
        </w:rPr>
        <w:t xml:space="preserve"> Valencia, de 120.000 euros (física o sensorial)</w:t>
      </w:r>
      <w:r w:rsidR="00DB54E9" w:rsidRPr="007937A7">
        <w:rPr>
          <w:rFonts w:asciiTheme="minorHAnsi" w:hAnsiTheme="minorHAnsi" w:cstheme="minorHAnsi"/>
        </w:rPr>
        <w:t xml:space="preserve">; </w:t>
      </w:r>
      <w:r w:rsidR="00DB54E9" w:rsidRPr="002C13F3">
        <w:rPr>
          <w:rFonts w:ascii="Century" w:hAnsi="Century"/>
        </w:rPr>
        <w:t>Navarra, de 60.000 euros</w:t>
      </w:r>
      <w:r w:rsidR="00DB54E9" w:rsidRPr="007937A7">
        <w:rPr>
          <w:rFonts w:asciiTheme="minorHAnsi" w:hAnsiTheme="minorHAnsi" w:cstheme="minorHAnsi"/>
        </w:rPr>
        <w:t>;</w:t>
      </w:r>
      <w:r w:rsidR="00DB54E9" w:rsidRPr="002C13F3">
        <w:rPr>
          <w:rFonts w:ascii="Century" w:hAnsi="Century"/>
        </w:rPr>
        <w:t xml:space="preserve"> y Álava, de 56.109 euros. </w:t>
      </w:r>
      <w:r>
        <w:rPr>
          <w:rFonts w:ascii="Century" w:hAnsi="Century"/>
        </w:rPr>
        <w:t xml:space="preserve">La legislación general contempla una </w:t>
      </w:r>
      <w:r w:rsidR="00DB54E9" w:rsidRPr="002C13F3">
        <w:rPr>
          <w:rFonts w:ascii="Century" w:hAnsi="Century"/>
        </w:rPr>
        <w:t>reducción de 47.858,59 euros.</w:t>
      </w:r>
      <w:r>
        <w:rPr>
          <w:rFonts w:ascii="Century" w:hAnsi="Century"/>
        </w:rPr>
        <w:t xml:space="preserve"> </w:t>
      </w:r>
    </w:p>
    <w:p w:rsidR="00DB54E9" w:rsidRPr="002C13F3" w:rsidRDefault="00DB54E9" w:rsidP="002D11BC">
      <w:pPr>
        <w:spacing w:after="240" w:line="360" w:lineRule="auto"/>
        <w:jc w:val="both"/>
        <w:rPr>
          <w:rFonts w:ascii="Century" w:hAnsi="Century"/>
          <w:sz w:val="24"/>
          <w:szCs w:val="24"/>
        </w:rPr>
      </w:pPr>
      <w:r w:rsidRPr="002C13F3">
        <w:rPr>
          <w:rFonts w:ascii="Century" w:hAnsi="Century"/>
          <w:sz w:val="24"/>
          <w:szCs w:val="24"/>
        </w:rPr>
        <w:lastRenderedPageBreak/>
        <w:tab/>
        <w:t xml:space="preserve">Si el grado de minusvalía es igual o superior al 65 por ciento, las CCAA </w:t>
      </w:r>
      <w:r w:rsidR="005B4F97">
        <w:rPr>
          <w:rFonts w:ascii="Century" w:hAnsi="Century"/>
          <w:sz w:val="24"/>
          <w:szCs w:val="24"/>
        </w:rPr>
        <w:t>que aplica</w:t>
      </w:r>
      <w:r w:rsidRPr="002C13F3">
        <w:rPr>
          <w:rFonts w:ascii="Century" w:hAnsi="Century"/>
          <w:sz w:val="24"/>
          <w:szCs w:val="24"/>
        </w:rPr>
        <w:t>n las reducciones</w:t>
      </w:r>
      <w:r w:rsidR="005B4F97">
        <w:rPr>
          <w:rFonts w:ascii="Century" w:hAnsi="Century"/>
          <w:sz w:val="24"/>
          <w:szCs w:val="24"/>
        </w:rPr>
        <w:t xml:space="preserve"> son</w:t>
      </w:r>
      <w:r w:rsidRPr="00514069">
        <w:rPr>
          <w:rFonts w:cstheme="minorHAnsi"/>
          <w:sz w:val="24"/>
          <w:szCs w:val="24"/>
        </w:rPr>
        <w:t>:</w:t>
      </w:r>
      <w:r w:rsidRPr="002C13F3">
        <w:rPr>
          <w:rFonts w:ascii="Century" w:hAnsi="Century"/>
          <w:sz w:val="24"/>
          <w:szCs w:val="24"/>
        </w:rPr>
        <w:t xml:space="preserve"> Aragón</w:t>
      </w:r>
      <w:r w:rsidR="005B4F97">
        <w:rPr>
          <w:rFonts w:ascii="Century" w:hAnsi="Century"/>
          <w:sz w:val="24"/>
          <w:szCs w:val="24"/>
        </w:rPr>
        <w:t xml:space="preserve"> con</w:t>
      </w:r>
      <w:r w:rsidRPr="002C13F3">
        <w:rPr>
          <w:rFonts w:ascii="Century" w:hAnsi="Century"/>
          <w:sz w:val="24"/>
          <w:szCs w:val="24"/>
        </w:rPr>
        <w:t xml:space="preserve"> </w:t>
      </w:r>
      <w:r w:rsidR="000E688B">
        <w:rPr>
          <w:rFonts w:ascii="Century" w:hAnsi="Century"/>
          <w:sz w:val="24"/>
          <w:szCs w:val="24"/>
        </w:rPr>
        <w:t>una reducción del 100 por cien</w:t>
      </w:r>
      <w:r w:rsidRPr="002C13F3">
        <w:rPr>
          <w:rFonts w:ascii="Century" w:hAnsi="Century"/>
          <w:sz w:val="24"/>
          <w:szCs w:val="24"/>
        </w:rPr>
        <w:t xml:space="preserve"> del valor de la base imponible</w:t>
      </w:r>
      <w:r w:rsidRPr="00EC29FC">
        <w:rPr>
          <w:rFonts w:cstheme="minorHAnsi"/>
          <w:sz w:val="24"/>
          <w:szCs w:val="24"/>
        </w:rPr>
        <w:t>;</w:t>
      </w:r>
      <w:r w:rsidRPr="002C13F3">
        <w:rPr>
          <w:rFonts w:ascii="Century" w:hAnsi="Century"/>
          <w:sz w:val="24"/>
          <w:szCs w:val="24"/>
        </w:rPr>
        <w:t xml:space="preserve"> Baleares, de 300.000 euros (física o sensorial)</w:t>
      </w:r>
      <w:r w:rsidRPr="00EC29FC">
        <w:rPr>
          <w:rFonts w:cstheme="minorHAnsi"/>
          <w:sz w:val="24"/>
          <w:szCs w:val="24"/>
        </w:rPr>
        <w:t>;</w:t>
      </w:r>
      <w:r w:rsidRPr="002C13F3">
        <w:rPr>
          <w:rFonts w:ascii="Century" w:hAnsi="Century"/>
          <w:sz w:val="24"/>
          <w:szCs w:val="24"/>
        </w:rPr>
        <w:t xml:space="preserve"> Canarias, de 400.000 euros</w:t>
      </w:r>
      <w:r w:rsidRPr="00EC29FC">
        <w:rPr>
          <w:rFonts w:cstheme="minorHAnsi"/>
          <w:sz w:val="24"/>
          <w:szCs w:val="24"/>
        </w:rPr>
        <w:t>;</w:t>
      </w:r>
      <w:r w:rsidRPr="002C13F3">
        <w:rPr>
          <w:rFonts w:ascii="Century" w:hAnsi="Century"/>
          <w:sz w:val="24"/>
          <w:szCs w:val="24"/>
        </w:rPr>
        <w:t xml:space="preserve"> Cantabria, de 200.000 euros</w:t>
      </w:r>
      <w:r w:rsidRPr="00EC29FC">
        <w:rPr>
          <w:rFonts w:cstheme="minorHAnsi"/>
          <w:sz w:val="24"/>
          <w:szCs w:val="24"/>
        </w:rPr>
        <w:t>;</w:t>
      </w:r>
      <w:r w:rsidRPr="002C13F3">
        <w:rPr>
          <w:rFonts w:ascii="Century" w:hAnsi="Century"/>
          <w:sz w:val="24"/>
          <w:szCs w:val="24"/>
        </w:rPr>
        <w:t xml:space="preserve"> </w:t>
      </w:r>
      <w:r w:rsidR="005B4F97">
        <w:rPr>
          <w:rFonts w:ascii="Century" w:hAnsi="Century"/>
          <w:sz w:val="24"/>
          <w:szCs w:val="24"/>
        </w:rPr>
        <w:t>Castilla-La Mancha y</w:t>
      </w:r>
      <w:r w:rsidRPr="002C13F3">
        <w:rPr>
          <w:rFonts w:ascii="Century" w:hAnsi="Century"/>
          <w:sz w:val="24"/>
          <w:szCs w:val="24"/>
        </w:rPr>
        <w:t xml:space="preserve"> Castilla y León, de 225.000 euros</w:t>
      </w:r>
      <w:r w:rsidRPr="00EC29FC">
        <w:rPr>
          <w:rFonts w:cstheme="minorHAnsi"/>
          <w:sz w:val="24"/>
          <w:szCs w:val="24"/>
        </w:rPr>
        <w:t>;</w:t>
      </w:r>
      <w:r w:rsidRPr="002C13F3">
        <w:rPr>
          <w:rFonts w:ascii="Century" w:hAnsi="Century"/>
          <w:sz w:val="24"/>
          <w:szCs w:val="24"/>
        </w:rPr>
        <w:t xml:space="preserve"> Cataluña, de 650.000 euros</w:t>
      </w:r>
      <w:r w:rsidRPr="00EC29FC">
        <w:rPr>
          <w:rFonts w:cstheme="minorHAnsi"/>
          <w:sz w:val="24"/>
          <w:szCs w:val="24"/>
        </w:rPr>
        <w:t>;</w:t>
      </w:r>
      <w:r w:rsidRPr="002C13F3">
        <w:rPr>
          <w:rFonts w:ascii="Century" w:hAnsi="Century"/>
          <w:sz w:val="24"/>
          <w:szCs w:val="24"/>
        </w:rPr>
        <w:t xml:space="preserve"> Extremadura, de 180.000 euros</w:t>
      </w:r>
      <w:r w:rsidRPr="00EC29FC">
        <w:rPr>
          <w:rFonts w:cstheme="minorHAnsi"/>
          <w:sz w:val="24"/>
          <w:szCs w:val="24"/>
        </w:rPr>
        <w:t>;</w:t>
      </w:r>
      <w:r w:rsidR="000E688B">
        <w:rPr>
          <w:rFonts w:ascii="Century" w:hAnsi="Century"/>
          <w:sz w:val="24"/>
          <w:szCs w:val="24"/>
        </w:rPr>
        <w:t xml:space="preserve"> Galicia, del 100 por cien</w:t>
      </w:r>
      <w:r w:rsidRPr="002C13F3">
        <w:rPr>
          <w:rFonts w:ascii="Century" w:hAnsi="Century"/>
          <w:sz w:val="24"/>
          <w:szCs w:val="24"/>
        </w:rPr>
        <w:t xml:space="preserve"> de la base imponible a los parientes directos</w:t>
      </w:r>
      <w:r w:rsidR="007A3C84">
        <w:rPr>
          <w:rFonts w:ascii="Century" w:hAnsi="Century"/>
          <w:sz w:val="24"/>
          <w:szCs w:val="24"/>
        </w:rPr>
        <w:t xml:space="preserve"> (Grupos I y II, anteriormente citados)</w:t>
      </w:r>
      <w:r w:rsidRPr="002C13F3">
        <w:rPr>
          <w:rFonts w:ascii="Century" w:hAnsi="Century"/>
          <w:sz w:val="24"/>
          <w:szCs w:val="24"/>
        </w:rPr>
        <w:t>, siempre que el patrimonio preexistente del contribuyente no exceda de 3.000.000 de euros, y una reducción de 300.000 euros para el resto de contribuyentes</w:t>
      </w:r>
      <w:r w:rsidRPr="00EC29FC">
        <w:rPr>
          <w:rFonts w:cstheme="minorHAnsi"/>
          <w:sz w:val="24"/>
          <w:szCs w:val="24"/>
        </w:rPr>
        <w:t>;</w:t>
      </w:r>
      <w:r w:rsidRPr="002C13F3">
        <w:rPr>
          <w:rFonts w:ascii="Century" w:hAnsi="Century"/>
          <w:sz w:val="24"/>
          <w:szCs w:val="24"/>
        </w:rPr>
        <w:t xml:space="preserve"> Madrid, de 153.000 euros</w:t>
      </w:r>
      <w:r w:rsidRPr="00EC29FC">
        <w:rPr>
          <w:rFonts w:cstheme="minorHAnsi"/>
          <w:sz w:val="24"/>
          <w:szCs w:val="24"/>
        </w:rPr>
        <w:t>;</w:t>
      </w:r>
      <w:r w:rsidRPr="002C13F3">
        <w:rPr>
          <w:rFonts w:ascii="Century" w:hAnsi="Century"/>
          <w:sz w:val="24"/>
          <w:szCs w:val="24"/>
        </w:rPr>
        <w:t xml:space="preserve"> Valencia, de 240.000 euros (física o sensorial)</w:t>
      </w:r>
      <w:r w:rsidRPr="00EC29FC">
        <w:rPr>
          <w:rFonts w:cstheme="minorHAnsi"/>
          <w:sz w:val="24"/>
          <w:szCs w:val="24"/>
        </w:rPr>
        <w:t>;</w:t>
      </w:r>
      <w:r w:rsidRPr="002C13F3">
        <w:rPr>
          <w:rFonts w:ascii="Century" w:hAnsi="Century"/>
          <w:sz w:val="24"/>
          <w:szCs w:val="24"/>
        </w:rPr>
        <w:t xml:space="preserve"> Navarra, de 180.000 euros</w:t>
      </w:r>
      <w:r w:rsidRPr="00EC29FC">
        <w:rPr>
          <w:rFonts w:cstheme="minorHAnsi"/>
          <w:sz w:val="24"/>
          <w:szCs w:val="24"/>
        </w:rPr>
        <w:t>;</w:t>
      </w:r>
      <w:r w:rsidRPr="002C13F3">
        <w:rPr>
          <w:rFonts w:ascii="Century" w:hAnsi="Century"/>
          <w:sz w:val="24"/>
          <w:szCs w:val="24"/>
        </w:rPr>
        <w:t xml:space="preserve"> y</w:t>
      </w:r>
      <w:r w:rsidR="005B4F97">
        <w:rPr>
          <w:rFonts w:ascii="Century" w:hAnsi="Century"/>
          <w:sz w:val="24"/>
          <w:szCs w:val="24"/>
        </w:rPr>
        <w:t>,</w:t>
      </w:r>
      <w:r w:rsidRPr="002C13F3">
        <w:rPr>
          <w:rFonts w:ascii="Century" w:hAnsi="Century"/>
          <w:sz w:val="24"/>
          <w:szCs w:val="24"/>
        </w:rPr>
        <w:t xml:space="preserve"> Álava de 176.045 euros. </w:t>
      </w:r>
      <w:r w:rsidR="005B4F97">
        <w:rPr>
          <w:rFonts w:ascii="Century" w:hAnsi="Century"/>
          <w:sz w:val="24"/>
          <w:szCs w:val="24"/>
        </w:rPr>
        <w:t xml:space="preserve">La legislación general prevé </w:t>
      </w:r>
      <w:r w:rsidRPr="002C13F3">
        <w:rPr>
          <w:rFonts w:ascii="Century" w:hAnsi="Century"/>
          <w:sz w:val="24"/>
          <w:szCs w:val="24"/>
        </w:rPr>
        <w:t>una reducción de 150.253,03 euros.</w:t>
      </w:r>
      <w:r w:rsidR="005B4F97">
        <w:rPr>
          <w:rFonts w:ascii="Century" w:hAnsi="Century"/>
          <w:sz w:val="24"/>
          <w:szCs w:val="24"/>
        </w:rPr>
        <w:t xml:space="preserve"> </w:t>
      </w:r>
    </w:p>
    <w:p w:rsidR="00DB54E9" w:rsidRDefault="00DB54E9" w:rsidP="002D11BC">
      <w:pPr>
        <w:spacing w:after="240" w:line="360" w:lineRule="auto"/>
        <w:jc w:val="both"/>
        <w:rPr>
          <w:rFonts w:ascii="Century" w:hAnsi="Century"/>
          <w:sz w:val="24"/>
          <w:szCs w:val="24"/>
        </w:rPr>
      </w:pPr>
      <w:r w:rsidRPr="002C13F3">
        <w:rPr>
          <w:rFonts w:ascii="Century" w:hAnsi="Century"/>
          <w:sz w:val="24"/>
          <w:szCs w:val="24"/>
        </w:rPr>
        <w:tab/>
        <w:t xml:space="preserve">Por </w:t>
      </w:r>
      <w:r w:rsidR="005B4F97">
        <w:rPr>
          <w:rFonts w:ascii="Century" w:hAnsi="Century"/>
          <w:sz w:val="24"/>
          <w:szCs w:val="24"/>
        </w:rPr>
        <w:t>lo demás</w:t>
      </w:r>
      <w:r w:rsidRPr="002C13F3">
        <w:rPr>
          <w:rFonts w:ascii="Century" w:hAnsi="Century"/>
          <w:sz w:val="24"/>
          <w:szCs w:val="24"/>
        </w:rPr>
        <w:t xml:space="preserve">, hay CCAA que aplican esta reducción sin diferenciar </w:t>
      </w:r>
      <w:r w:rsidR="005B4F97">
        <w:rPr>
          <w:rFonts w:ascii="Century" w:hAnsi="Century"/>
          <w:sz w:val="24"/>
          <w:szCs w:val="24"/>
        </w:rPr>
        <w:t xml:space="preserve">grado de minusvalía o que establecen otros grados de discapacidad, mientras ésta alcance el 33 por ciento. </w:t>
      </w:r>
      <w:r w:rsidRPr="002C13F3">
        <w:rPr>
          <w:rFonts w:ascii="Century" w:hAnsi="Century"/>
          <w:sz w:val="24"/>
          <w:szCs w:val="24"/>
        </w:rPr>
        <w:t xml:space="preserve">Así </w:t>
      </w:r>
      <w:r w:rsidR="005B4F97">
        <w:rPr>
          <w:rFonts w:ascii="Century" w:hAnsi="Century"/>
          <w:sz w:val="24"/>
          <w:szCs w:val="24"/>
        </w:rPr>
        <w:t>en</w:t>
      </w:r>
      <w:r w:rsidRPr="002C13F3">
        <w:rPr>
          <w:rFonts w:ascii="Century" w:hAnsi="Century"/>
          <w:sz w:val="24"/>
          <w:szCs w:val="24"/>
        </w:rPr>
        <w:t xml:space="preserve"> Andalucía </w:t>
      </w:r>
      <w:r w:rsidR="005B4F97">
        <w:rPr>
          <w:rFonts w:ascii="Century" w:hAnsi="Century"/>
          <w:sz w:val="24"/>
          <w:szCs w:val="24"/>
        </w:rPr>
        <w:t>s</w:t>
      </w:r>
      <w:r w:rsidRPr="002C13F3">
        <w:rPr>
          <w:rFonts w:ascii="Century" w:hAnsi="Century"/>
          <w:sz w:val="24"/>
          <w:szCs w:val="24"/>
        </w:rPr>
        <w:t>e aplicará una reducción por sujetos pasivos con discapacidad cuya base imponible no sea superior a 250.000 euros que consistirá en una cantidad variable, cuya aplicación determinará una base liquidable de importe cero</w:t>
      </w:r>
      <w:r w:rsidR="000506FC">
        <w:rPr>
          <w:rStyle w:val="Refdenotaalpie"/>
          <w:rFonts w:ascii="Century" w:hAnsi="Century"/>
          <w:sz w:val="24"/>
          <w:szCs w:val="24"/>
        </w:rPr>
        <w:footnoteReference w:id="52"/>
      </w:r>
      <w:r w:rsidRPr="002C13F3">
        <w:rPr>
          <w:rFonts w:ascii="Century" w:hAnsi="Century"/>
          <w:sz w:val="24"/>
          <w:szCs w:val="24"/>
        </w:rPr>
        <w:t xml:space="preserve">. Baleares </w:t>
      </w:r>
      <w:proofErr w:type="gramStart"/>
      <w:r w:rsidRPr="002C13F3">
        <w:rPr>
          <w:rFonts w:ascii="Century" w:hAnsi="Century"/>
          <w:sz w:val="24"/>
          <w:szCs w:val="24"/>
        </w:rPr>
        <w:lastRenderedPageBreak/>
        <w:t>aplicará</w:t>
      </w:r>
      <w:proofErr w:type="gramEnd"/>
      <w:r w:rsidRPr="002C13F3">
        <w:rPr>
          <w:rFonts w:ascii="Century" w:hAnsi="Century"/>
          <w:sz w:val="24"/>
          <w:szCs w:val="24"/>
        </w:rPr>
        <w:t xml:space="preserve"> una reducción de 300.000 euros</w:t>
      </w:r>
      <w:r w:rsidR="005B4F97">
        <w:rPr>
          <w:rFonts w:ascii="Century" w:hAnsi="Century"/>
          <w:sz w:val="24"/>
          <w:szCs w:val="24"/>
        </w:rPr>
        <w:t>,</w:t>
      </w:r>
      <w:r w:rsidRPr="002C13F3">
        <w:rPr>
          <w:rFonts w:ascii="Century" w:hAnsi="Century"/>
          <w:sz w:val="24"/>
          <w:szCs w:val="24"/>
        </w:rPr>
        <w:t xml:space="preserve"> si la minusvalía es psíquica de grado igual o superior al 33 por ciento. En Cataluña, se aplicará una reducción de 275.000 euros</w:t>
      </w:r>
      <w:r w:rsidR="005B4F97">
        <w:rPr>
          <w:rFonts w:ascii="Century" w:hAnsi="Century"/>
          <w:sz w:val="24"/>
          <w:szCs w:val="24"/>
        </w:rPr>
        <w:t>,</w:t>
      </w:r>
      <w:r w:rsidRPr="002C13F3">
        <w:rPr>
          <w:rFonts w:ascii="Century" w:hAnsi="Century"/>
          <w:sz w:val="24"/>
          <w:szCs w:val="24"/>
        </w:rPr>
        <w:t xml:space="preserve"> si el grado de minusvalía es igual o superior al 33 por ciento. En Extremadura, se establecerá una reducción de 60.000 euros</w:t>
      </w:r>
      <w:r w:rsidR="005B4F97">
        <w:rPr>
          <w:rFonts w:ascii="Century" w:hAnsi="Century"/>
          <w:sz w:val="24"/>
          <w:szCs w:val="24"/>
        </w:rPr>
        <w:t>,</w:t>
      </w:r>
      <w:r w:rsidRPr="002C13F3">
        <w:rPr>
          <w:rFonts w:ascii="Century" w:hAnsi="Century"/>
          <w:sz w:val="24"/>
          <w:szCs w:val="24"/>
        </w:rPr>
        <w:t xml:space="preserve"> si el grado de discapacidad fuera igual o superior al 33 por ciento e inferior al 50 por ciento,</w:t>
      </w:r>
      <w:r w:rsidR="005F0173">
        <w:rPr>
          <w:rFonts w:ascii="Century" w:hAnsi="Century"/>
          <w:sz w:val="24"/>
          <w:szCs w:val="24"/>
        </w:rPr>
        <w:t xml:space="preserve"> y</w:t>
      </w:r>
      <w:r w:rsidRPr="002C13F3">
        <w:rPr>
          <w:rFonts w:ascii="Century" w:hAnsi="Century"/>
          <w:sz w:val="24"/>
          <w:szCs w:val="24"/>
        </w:rPr>
        <w:t xml:space="preserve"> una reducción de 120.000 euros si el grado de discapacidad fuera igual o superior al 50 por ciento e inferior al 65 por ciento. Asimismo, en Valencia se aplicará una reducción de 240.000 euros para aquellas personas con discapacidad psíquica con un grado de minusvalía igual o superior al 33 por ciento. En Guipúzcoa, se </w:t>
      </w:r>
      <w:r w:rsidR="005F0173">
        <w:rPr>
          <w:rFonts w:ascii="Century" w:hAnsi="Century"/>
          <w:sz w:val="24"/>
          <w:szCs w:val="24"/>
        </w:rPr>
        <w:t>fijará</w:t>
      </w:r>
      <w:r w:rsidRPr="002C13F3">
        <w:rPr>
          <w:rFonts w:ascii="Century" w:hAnsi="Century"/>
          <w:sz w:val="24"/>
          <w:szCs w:val="24"/>
        </w:rPr>
        <w:t xml:space="preserve"> una reducción de 80.000 euros en las adquisiciones por personas con minusvalía física, psíquica o sensorial y en Vizcaya, se aplicará una reducción de 100.000 euros sin diferenciar naturaleza o grado de </w:t>
      </w:r>
      <w:r w:rsidR="005F0173">
        <w:rPr>
          <w:rFonts w:ascii="Century" w:hAnsi="Century"/>
          <w:sz w:val="24"/>
          <w:szCs w:val="24"/>
        </w:rPr>
        <w:t>discapacidad</w:t>
      </w:r>
      <w:r w:rsidRPr="002C13F3">
        <w:rPr>
          <w:rFonts w:ascii="Century" w:hAnsi="Century"/>
          <w:sz w:val="24"/>
          <w:szCs w:val="24"/>
        </w:rPr>
        <w:t>.</w:t>
      </w:r>
    </w:p>
    <w:p w:rsidR="005B4F97" w:rsidRPr="005B4F97" w:rsidRDefault="005B4F97" w:rsidP="002D11BC">
      <w:pPr>
        <w:spacing w:after="240" w:line="360" w:lineRule="auto"/>
        <w:jc w:val="both"/>
        <w:rPr>
          <w:rFonts w:ascii="Century" w:hAnsi="Century"/>
          <w:b/>
        </w:rPr>
      </w:pPr>
      <w:r>
        <w:rPr>
          <w:rFonts w:ascii="Century" w:hAnsi="Century"/>
          <w:sz w:val="24"/>
          <w:szCs w:val="24"/>
        </w:rPr>
        <w:tab/>
      </w:r>
      <w:r w:rsidRPr="005B4F97">
        <w:rPr>
          <w:rFonts w:ascii="Century" w:hAnsi="Century"/>
          <w:b/>
          <w:sz w:val="24"/>
          <w:szCs w:val="24"/>
        </w:rPr>
        <w:t>a.2. Por razón de la naturaleza de lo adquirido</w:t>
      </w:r>
    </w:p>
    <w:p w:rsidR="005B4F97" w:rsidRDefault="005B4F97" w:rsidP="002D11BC">
      <w:pPr>
        <w:pStyle w:val="NormalWeb"/>
        <w:spacing w:before="0" w:beforeAutospacing="0" w:after="240" w:afterAutospacing="0" w:line="360" w:lineRule="auto"/>
        <w:jc w:val="both"/>
        <w:rPr>
          <w:rFonts w:ascii="Century" w:hAnsi="Century"/>
        </w:rPr>
      </w:pPr>
      <w:r>
        <w:rPr>
          <w:rFonts w:ascii="Century" w:hAnsi="Century"/>
        </w:rPr>
        <w:tab/>
        <w:t>Una vez referidas las reducciones relacionadas con las circunstancias personales y familiares de los adquirentes, cabe detenernos en las que se establecen en función de la naturale</w:t>
      </w:r>
      <w:r w:rsidR="005F0173">
        <w:rPr>
          <w:rFonts w:ascii="Century" w:hAnsi="Century"/>
        </w:rPr>
        <w:t>za del bien o derecho adquirido.</w:t>
      </w:r>
      <w:r>
        <w:rPr>
          <w:rFonts w:ascii="Century" w:hAnsi="Century"/>
        </w:rPr>
        <w:t xml:space="preserve"> Analizaremos las nueve reducciones reguladas por las diferentes normativas.</w:t>
      </w:r>
      <w:r w:rsidR="00DB54E9" w:rsidRPr="002C13F3">
        <w:rPr>
          <w:rFonts w:ascii="Century" w:hAnsi="Century"/>
        </w:rPr>
        <w:tab/>
      </w:r>
    </w:p>
    <w:p w:rsidR="00DB54E9" w:rsidRPr="002C13F3" w:rsidRDefault="005B4F97" w:rsidP="002D11BC">
      <w:pPr>
        <w:pStyle w:val="NormalWeb"/>
        <w:spacing w:before="0" w:beforeAutospacing="0" w:after="240" w:afterAutospacing="0" w:line="360" w:lineRule="auto"/>
        <w:jc w:val="both"/>
        <w:rPr>
          <w:rFonts w:ascii="Century" w:hAnsi="Century"/>
        </w:rPr>
      </w:pPr>
      <w:r>
        <w:rPr>
          <w:rFonts w:ascii="Century" w:hAnsi="Century"/>
        </w:rPr>
        <w:tab/>
        <w:t>L</w:t>
      </w:r>
      <w:r w:rsidR="00DB54E9" w:rsidRPr="002C13F3">
        <w:rPr>
          <w:rFonts w:ascii="Century" w:hAnsi="Century"/>
        </w:rPr>
        <w:t xml:space="preserve">a mayoría de las CCAA, excepto Castilla-La Mancha, Castilla y León, </w:t>
      </w:r>
      <w:r w:rsidR="00DB54E9" w:rsidRPr="005B4F97">
        <w:rPr>
          <w:rFonts w:ascii="Century" w:hAnsi="Century"/>
        </w:rPr>
        <w:t>Murcia</w:t>
      </w:r>
      <w:r>
        <w:rPr>
          <w:rFonts w:ascii="Century" w:hAnsi="Century"/>
        </w:rPr>
        <w:t xml:space="preserve"> </w:t>
      </w:r>
      <w:r w:rsidR="00DB54E9" w:rsidRPr="002C13F3">
        <w:rPr>
          <w:rFonts w:ascii="Century" w:hAnsi="Century"/>
        </w:rPr>
        <w:t>y N</w:t>
      </w:r>
      <w:r>
        <w:rPr>
          <w:rFonts w:ascii="Century" w:hAnsi="Century"/>
        </w:rPr>
        <w:t>avarra, regulan una reducción por</w:t>
      </w:r>
      <w:r w:rsidR="00DB54E9" w:rsidRPr="002C13F3">
        <w:rPr>
          <w:rFonts w:ascii="Century" w:hAnsi="Century"/>
        </w:rPr>
        <w:t xml:space="preserve"> la adquisición </w:t>
      </w:r>
      <w:r>
        <w:rPr>
          <w:rFonts w:ascii="Century" w:hAnsi="Century"/>
        </w:rPr>
        <w:t>de</w:t>
      </w:r>
      <w:r w:rsidR="00DB54E9" w:rsidRPr="002C13F3">
        <w:rPr>
          <w:rFonts w:ascii="Century" w:hAnsi="Century"/>
        </w:rPr>
        <w:t xml:space="preserve"> vivienda habitual, siempre que los causahabientes sean el cónyuge, los ascendientes o los descendientes, o los parientes colaterales mayores de 65 años que hayan convivido con el causante durante</w:t>
      </w:r>
      <w:r w:rsidR="00E761D0">
        <w:rPr>
          <w:rFonts w:ascii="Century" w:hAnsi="Century"/>
        </w:rPr>
        <w:t xml:space="preserve"> un plazo determinado anterior</w:t>
      </w:r>
      <w:r w:rsidR="00DB54E9" w:rsidRPr="002C13F3">
        <w:rPr>
          <w:rFonts w:ascii="Century" w:hAnsi="Century"/>
        </w:rPr>
        <w:t xml:space="preserve"> al fallecimiento.</w:t>
      </w:r>
      <w:r w:rsidR="00DB54E9" w:rsidRPr="002C13F3">
        <w:rPr>
          <w:rFonts w:ascii="Century" w:hAnsi="Century"/>
          <w:color w:val="000000"/>
        </w:rPr>
        <w:t xml:space="preserve"> </w:t>
      </w:r>
      <w:r w:rsidR="00DB54E9" w:rsidRPr="002C13F3">
        <w:rPr>
          <w:rFonts w:ascii="Century" w:hAnsi="Century"/>
        </w:rPr>
        <w:t xml:space="preserve">Además, se regula </w:t>
      </w:r>
      <w:r>
        <w:rPr>
          <w:rFonts w:ascii="Century" w:hAnsi="Century"/>
        </w:rPr>
        <w:t>como</w:t>
      </w:r>
      <w:r w:rsidR="00DB54E9" w:rsidRPr="002C13F3">
        <w:rPr>
          <w:rFonts w:ascii="Century" w:hAnsi="Century"/>
        </w:rPr>
        <w:t xml:space="preserve"> condición</w:t>
      </w:r>
      <w:r>
        <w:rPr>
          <w:rFonts w:ascii="Century" w:hAnsi="Century"/>
        </w:rPr>
        <w:t xml:space="preserve"> la</w:t>
      </w:r>
      <w:r w:rsidR="00DB54E9" w:rsidRPr="002C13F3">
        <w:rPr>
          <w:rFonts w:ascii="Century" w:hAnsi="Century"/>
        </w:rPr>
        <w:t xml:space="preserve"> de mantener la adquisición durante un tiempo después del fallecimiento del causante, salvo que el adquirente falleciese dentro de ese plazo, siendo este tiempo diferente según cada Comunidad Autónoma. </w:t>
      </w:r>
    </w:p>
    <w:p w:rsidR="00DB54E9" w:rsidRPr="002C13F3" w:rsidRDefault="00DB54E9" w:rsidP="002D11BC">
      <w:pPr>
        <w:pStyle w:val="NormalWeb"/>
        <w:spacing w:before="0" w:beforeAutospacing="0" w:after="240" w:afterAutospacing="0" w:line="360" w:lineRule="auto"/>
        <w:jc w:val="both"/>
        <w:rPr>
          <w:rFonts w:ascii="Century" w:hAnsi="Century"/>
          <w:bCs/>
        </w:rPr>
      </w:pPr>
      <w:r w:rsidRPr="002C13F3">
        <w:rPr>
          <w:rFonts w:ascii="Century" w:hAnsi="Century"/>
        </w:rPr>
        <w:tab/>
        <w:t xml:space="preserve">En este sentido, conviene agrupar las CCAA según el porcentaje de reducción aplicado por cada una de ellas. Son muy pocas las CCAA donde se </w:t>
      </w:r>
      <w:r w:rsidRPr="002C13F3">
        <w:rPr>
          <w:rFonts w:ascii="Century" w:hAnsi="Century"/>
        </w:rPr>
        <w:lastRenderedPageBreak/>
        <w:t>establece una reducción de la vivi</w:t>
      </w:r>
      <w:r w:rsidR="000E688B">
        <w:rPr>
          <w:rFonts w:ascii="Century" w:hAnsi="Century"/>
        </w:rPr>
        <w:t>enda habitual del 100 por cien</w:t>
      </w:r>
      <w:r w:rsidRPr="002C13F3">
        <w:rPr>
          <w:rFonts w:ascii="Century" w:hAnsi="Century"/>
        </w:rPr>
        <w:t xml:space="preserve"> </w:t>
      </w:r>
      <w:r w:rsidR="005B4F97">
        <w:rPr>
          <w:rFonts w:ascii="Century" w:hAnsi="Century"/>
        </w:rPr>
        <w:t>en la base imponible. E</w:t>
      </w:r>
      <w:r w:rsidRPr="002C13F3">
        <w:rPr>
          <w:rFonts w:ascii="Century" w:hAnsi="Century"/>
        </w:rPr>
        <w:t xml:space="preserve">n Baleares, se aplicará </w:t>
      </w:r>
      <w:r w:rsidR="000E688B">
        <w:rPr>
          <w:rFonts w:ascii="Century" w:hAnsi="Century"/>
        </w:rPr>
        <w:t>una reducción del 100 por cien</w:t>
      </w:r>
      <w:r w:rsidRPr="002C13F3">
        <w:rPr>
          <w:rFonts w:ascii="Century" w:hAnsi="Century"/>
        </w:rPr>
        <w:t xml:space="preserve"> del valor de la vivienda habitual del causante, con el límite de 180.000 euros por cada sujeto pasivo. En Extremadura, cuando </w:t>
      </w:r>
      <w:r w:rsidR="00E761D0">
        <w:rPr>
          <w:rFonts w:ascii="Century" w:hAnsi="Century"/>
        </w:rPr>
        <w:t>la vivienda esté acogida a determinadas modalidades de vivienda de protección pública hasta la fecha de fallecimiento del causante</w:t>
      </w:r>
      <w:r w:rsidRPr="002C13F3">
        <w:rPr>
          <w:rFonts w:ascii="Century" w:hAnsi="Century"/>
          <w:bCs/>
        </w:rPr>
        <w:t xml:space="preserve">, se aplicará </w:t>
      </w:r>
      <w:r w:rsidR="000E688B">
        <w:rPr>
          <w:rFonts w:ascii="Century" w:hAnsi="Century"/>
          <w:bCs/>
        </w:rPr>
        <w:t>una reducción del 100 por cien</w:t>
      </w:r>
      <w:r w:rsidRPr="002C13F3">
        <w:rPr>
          <w:rFonts w:ascii="Century" w:hAnsi="Century"/>
          <w:bCs/>
        </w:rPr>
        <w:t xml:space="preserve">. En Galicia, cuando la adquisición </w:t>
      </w:r>
      <w:r w:rsidRPr="002C13F3">
        <w:rPr>
          <w:rFonts w:ascii="Century" w:hAnsi="Century"/>
          <w:bCs/>
          <w:i/>
        </w:rPr>
        <w:t>mortis causa</w:t>
      </w:r>
      <w:r w:rsidRPr="002C13F3">
        <w:rPr>
          <w:rFonts w:ascii="Century" w:hAnsi="Century"/>
          <w:bCs/>
        </w:rPr>
        <w:t xml:space="preserve"> de la vivienda habitual corresponda al cónyuge, la r</w:t>
      </w:r>
      <w:r w:rsidR="000E688B">
        <w:rPr>
          <w:rFonts w:ascii="Century" w:hAnsi="Century"/>
          <w:bCs/>
        </w:rPr>
        <w:t>educción</w:t>
      </w:r>
      <w:r w:rsidR="005B4F97">
        <w:rPr>
          <w:rFonts w:ascii="Century" w:hAnsi="Century"/>
          <w:bCs/>
        </w:rPr>
        <w:t xml:space="preserve"> también</w:t>
      </w:r>
      <w:r w:rsidR="000E688B">
        <w:rPr>
          <w:rFonts w:ascii="Century" w:hAnsi="Century"/>
          <w:bCs/>
        </w:rPr>
        <w:t xml:space="preserve"> será del 100 por cien</w:t>
      </w:r>
      <w:r w:rsidRPr="002C13F3">
        <w:rPr>
          <w:rFonts w:ascii="Century" w:hAnsi="Century"/>
          <w:bCs/>
        </w:rPr>
        <w:t xml:space="preserve"> del valor en la base imponible, con un límite de 600.000 euros.</w:t>
      </w:r>
    </w:p>
    <w:p w:rsidR="00DB54E9" w:rsidRDefault="00DB54E9" w:rsidP="002D11BC">
      <w:pPr>
        <w:pStyle w:val="NormalWeb"/>
        <w:spacing w:before="0" w:beforeAutospacing="0" w:after="240" w:afterAutospacing="0" w:line="360" w:lineRule="auto"/>
        <w:jc w:val="both"/>
        <w:rPr>
          <w:rFonts w:ascii="Century" w:hAnsi="Century"/>
        </w:rPr>
      </w:pPr>
      <w:r w:rsidRPr="002C13F3">
        <w:rPr>
          <w:rFonts w:ascii="Century" w:hAnsi="Century"/>
          <w:bCs/>
        </w:rPr>
        <w:tab/>
        <w:t xml:space="preserve">Otras CCAA </w:t>
      </w:r>
      <w:r w:rsidR="005B4F97">
        <w:rPr>
          <w:rFonts w:ascii="Century" w:hAnsi="Century"/>
          <w:bCs/>
        </w:rPr>
        <w:t>establecen</w:t>
      </w:r>
      <w:r w:rsidRPr="002C13F3">
        <w:rPr>
          <w:rFonts w:ascii="Century" w:hAnsi="Century"/>
          <w:bCs/>
        </w:rPr>
        <w:t xml:space="preserve"> una reducción del 99 por ciento sobre el valor de la vivienda habitual</w:t>
      </w:r>
      <w:r w:rsidRPr="00514069">
        <w:rPr>
          <w:rFonts w:asciiTheme="minorHAnsi" w:hAnsiTheme="minorHAnsi" w:cstheme="minorHAnsi"/>
          <w:bCs/>
        </w:rPr>
        <w:t>:</w:t>
      </w:r>
      <w:r w:rsidRPr="002C13F3">
        <w:rPr>
          <w:rFonts w:ascii="Century" w:hAnsi="Century"/>
        </w:rPr>
        <w:t xml:space="preserve"> Aragón</w:t>
      </w:r>
      <w:r w:rsidR="005B4F97">
        <w:rPr>
          <w:rFonts w:ascii="Century" w:hAnsi="Century"/>
        </w:rPr>
        <w:t>, con el</w:t>
      </w:r>
      <w:r w:rsidRPr="002C13F3">
        <w:rPr>
          <w:rFonts w:ascii="Century" w:hAnsi="Century"/>
        </w:rPr>
        <w:t xml:space="preserve"> límite de 125.000 euros para cada sujeto pasivo</w:t>
      </w:r>
      <w:r w:rsidRPr="00EC29FC">
        <w:rPr>
          <w:rFonts w:asciiTheme="minorHAnsi" w:hAnsiTheme="minorHAnsi" w:cstheme="minorHAnsi"/>
        </w:rPr>
        <w:t>;</w:t>
      </w:r>
      <w:r w:rsidRPr="002C13F3">
        <w:rPr>
          <w:rFonts w:ascii="Century" w:hAnsi="Century"/>
        </w:rPr>
        <w:t xml:space="preserve"> Canarias</w:t>
      </w:r>
      <w:r w:rsidR="005B4F97">
        <w:rPr>
          <w:rFonts w:ascii="Century" w:hAnsi="Century"/>
        </w:rPr>
        <w:t>,</w:t>
      </w:r>
      <w:r w:rsidRPr="002C13F3">
        <w:rPr>
          <w:rFonts w:ascii="Century" w:hAnsi="Century"/>
        </w:rPr>
        <w:t xml:space="preserve"> con el límite de 200.000 euros por el valor conjunto de la vivienda, que </w:t>
      </w:r>
      <w:r w:rsidR="00541F17">
        <w:rPr>
          <w:rFonts w:ascii="Century" w:hAnsi="Century"/>
        </w:rPr>
        <w:t>se prorrateará</w:t>
      </w:r>
      <w:r w:rsidRPr="002C13F3">
        <w:rPr>
          <w:rFonts w:ascii="Century" w:hAnsi="Century"/>
        </w:rPr>
        <w:t xml:space="preserve"> entre los sujetos pasivos en proporción a su participación</w:t>
      </w:r>
      <w:r w:rsidRPr="00EC29FC">
        <w:rPr>
          <w:rFonts w:asciiTheme="minorHAnsi" w:hAnsiTheme="minorHAnsi" w:cstheme="minorHAnsi"/>
        </w:rPr>
        <w:t>;</w:t>
      </w:r>
      <w:r w:rsidRPr="002C13F3">
        <w:rPr>
          <w:rFonts w:ascii="Century" w:hAnsi="Century"/>
        </w:rPr>
        <w:t xml:space="preserve"> y</w:t>
      </w:r>
      <w:r w:rsidR="005B4F97">
        <w:rPr>
          <w:rFonts w:ascii="Century" w:hAnsi="Century"/>
        </w:rPr>
        <w:t>,</w:t>
      </w:r>
      <w:r w:rsidRPr="002C13F3">
        <w:rPr>
          <w:rFonts w:ascii="Century" w:hAnsi="Century"/>
        </w:rPr>
        <w:t xml:space="preserve"> Cantabria, sin tener en cuenta ninguna limitación.</w:t>
      </w:r>
    </w:p>
    <w:p w:rsidR="00DB54E9" w:rsidRPr="002C13F3" w:rsidRDefault="00DB54E9" w:rsidP="002D11BC">
      <w:pPr>
        <w:pStyle w:val="NormalWeb"/>
        <w:spacing w:before="0" w:beforeAutospacing="0" w:after="240" w:afterAutospacing="0" w:line="360" w:lineRule="auto"/>
        <w:jc w:val="both"/>
        <w:rPr>
          <w:rFonts w:ascii="Century" w:hAnsi="Century"/>
          <w:bCs/>
        </w:rPr>
      </w:pPr>
      <w:r w:rsidRPr="002C13F3">
        <w:rPr>
          <w:rFonts w:ascii="Century" w:hAnsi="Century"/>
        </w:rPr>
        <w:tab/>
        <w:t>Por otro lado, son varias las CCAA que establecen para cada sujeto pasivo una reducción del 95 por ciento</w:t>
      </w:r>
      <w:r w:rsidRPr="00514069">
        <w:rPr>
          <w:rFonts w:asciiTheme="minorHAnsi" w:hAnsiTheme="minorHAnsi" w:cstheme="minorHAnsi"/>
        </w:rPr>
        <w:t>:</w:t>
      </w:r>
      <w:r w:rsidRPr="002C13F3">
        <w:rPr>
          <w:rFonts w:ascii="Century" w:hAnsi="Century"/>
        </w:rPr>
        <w:t xml:space="preserve"> Cataluña</w:t>
      </w:r>
      <w:r w:rsidR="005B4F97">
        <w:rPr>
          <w:rFonts w:ascii="Century" w:hAnsi="Century"/>
        </w:rPr>
        <w:t>,</w:t>
      </w:r>
      <w:r w:rsidRPr="002C13F3">
        <w:rPr>
          <w:rFonts w:ascii="Century" w:hAnsi="Century"/>
        </w:rPr>
        <w:t xml:space="preserve"> con un límite de 500.000 euros por el valor conjunto de la vivienda, que debe prorratearse entre los sujetos pasivos en proporción a su participación, siendo en cualquier caso el límite individual resultante del prorrateo entre los sujetos pasivos superior a 180.000 euros</w:t>
      </w:r>
      <w:r w:rsidRPr="00EC29FC">
        <w:rPr>
          <w:rFonts w:asciiTheme="minorHAnsi" w:hAnsiTheme="minorHAnsi" w:cstheme="minorHAnsi"/>
        </w:rPr>
        <w:t>;</w:t>
      </w:r>
      <w:r w:rsidRPr="002C13F3">
        <w:rPr>
          <w:rFonts w:ascii="Century" w:hAnsi="Century"/>
          <w:bCs/>
        </w:rPr>
        <w:t xml:space="preserve"> La Rioja</w:t>
      </w:r>
      <w:r w:rsidR="005B4F97">
        <w:rPr>
          <w:rFonts w:ascii="Century" w:hAnsi="Century"/>
          <w:bCs/>
        </w:rPr>
        <w:t>,</w:t>
      </w:r>
      <w:r w:rsidRPr="002C13F3">
        <w:rPr>
          <w:rFonts w:ascii="Century" w:hAnsi="Century"/>
          <w:bCs/>
        </w:rPr>
        <w:t xml:space="preserve"> con el límite de 122.606,47 euros</w:t>
      </w:r>
      <w:r w:rsidRPr="00EC29FC">
        <w:rPr>
          <w:rFonts w:asciiTheme="minorHAnsi" w:hAnsiTheme="minorHAnsi" w:cstheme="minorHAnsi"/>
          <w:bCs/>
        </w:rPr>
        <w:t>;</w:t>
      </w:r>
      <w:r w:rsidRPr="002C13F3">
        <w:rPr>
          <w:rFonts w:ascii="Century" w:hAnsi="Century"/>
          <w:bCs/>
        </w:rPr>
        <w:t xml:space="preserve"> Madrid</w:t>
      </w:r>
      <w:r w:rsidR="005B4F97">
        <w:rPr>
          <w:rFonts w:ascii="Century" w:hAnsi="Century"/>
          <w:bCs/>
        </w:rPr>
        <w:t>,</w:t>
      </w:r>
      <w:r w:rsidRPr="002C13F3">
        <w:rPr>
          <w:rFonts w:ascii="Century" w:hAnsi="Century"/>
          <w:bCs/>
        </w:rPr>
        <w:t xml:space="preserve"> de 123.000 euros</w:t>
      </w:r>
      <w:r w:rsidRPr="00EC29FC">
        <w:rPr>
          <w:rFonts w:asciiTheme="minorHAnsi" w:hAnsiTheme="minorHAnsi" w:cstheme="minorHAnsi"/>
          <w:bCs/>
        </w:rPr>
        <w:t>;</w:t>
      </w:r>
      <w:r w:rsidRPr="002C13F3">
        <w:rPr>
          <w:rFonts w:ascii="Century" w:hAnsi="Century"/>
          <w:bCs/>
        </w:rPr>
        <w:t xml:space="preserve"> Valencia</w:t>
      </w:r>
      <w:r w:rsidR="005B4F97">
        <w:rPr>
          <w:rFonts w:ascii="Century" w:hAnsi="Century"/>
          <w:bCs/>
        </w:rPr>
        <w:t>,</w:t>
      </w:r>
      <w:r w:rsidRPr="002C13F3">
        <w:rPr>
          <w:rFonts w:ascii="Century" w:hAnsi="Century"/>
          <w:bCs/>
        </w:rPr>
        <w:t xml:space="preserve"> de 150.000 euros</w:t>
      </w:r>
      <w:r w:rsidRPr="00EC29FC">
        <w:rPr>
          <w:rFonts w:asciiTheme="minorHAnsi" w:hAnsiTheme="minorHAnsi" w:cstheme="minorHAnsi"/>
          <w:bCs/>
        </w:rPr>
        <w:t>;</w:t>
      </w:r>
      <w:r w:rsidRPr="002C13F3">
        <w:rPr>
          <w:rFonts w:ascii="Century" w:hAnsi="Century"/>
          <w:bCs/>
        </w:rPr>
        <w:t xml:space="preserve"> Álava</w:t>
      </w:r>
      <w:r w:rsidR="005B4F97">
        <w:rPr>
          <w:rFonts w:ascii="Century" w:hAnsi="Century"/>
          <w:bCs/>
        </w:rPr>
        <w:t>,</w:t>
      </w:r>
      <w:r w:rsidRPr="002C13F3">
        <w:rPr>
          <w:rFonts w:ascii="Century" w:hAnsi="Century"/>
          <w:bCs/>
        </w:rPr>
        <w:t xml:space="preserve"> de 212.242 euros</w:t>
      </w:r>
      <w:r w:rsidRPr="00EC29FC">
        <w:rPr>
          <w:rFonts w:asciiTheme="minorHAnsi" w:hAnsiTheme="minorHAnsi" w:cstheme="minorHAnsi"/>
          <w:bCs/>
        </w:rPr>
        <w:t>;</w:t>
      </w:r>
      <w:r w:rsidRPr="002C13F3">
        <w:rPr>
          <w:rFonts w:ascii="Century" w:hAnsi="Century"/>
          <w:bCs/>
        </w:rPr>
        <w:t xml:space="preserve"> Guipúzcoa</w:t>
      </w:r>
      <w:r w:rsidR="005B4F97">
        <w:rPr>
          <w:rFonts w:ascii="Century" w:hAnsi="Century"/>
          <w:bCs/>
        </w:rPr>
        <w:t>,</w:t>
      </w:r>
      <w:r w:rsidRPr="002C13F3">
        <w:rPr>
          <w:rFonts w:ascii="Century" w:hAnsi="Century"/>
          <w:bCs/>
        </w:rPr>
        <w:t xml:space="preserve"> </w:t>
      </w:r>
      <w:r w:rsidRPr="002C13F3">
        <w:rPr>
          <w:rStyle w:val="none"/>
          <w:rFonts w:ascii="Century" w:eastAsiaTheme="majorEastAsia" w:hAnsi="Century"/>
        </w:rPr>
        <w:t>de 220.000 euros</w:t>
      </w:r>
      <w:r w:rsidRPr="00EC29FC">
        <w:rPr>
          <w:rFonts w:asciiTheme="minorHAnsi" w:hAnsiTheme="minorHAnsi" w:cstheme="minorHAnsi"/>
          <w:bCs/>
        </w:rPr>
        <w:t>;</w:t>
      </w:r>
      <w:r w:rsidRPr="002C13F3">
        <w:rPr>
          <w:rFonts w:ascii="Century" w:hAnsi="Century"/>
          <w:bCs/>
        </w:rPr>
        <w:t xml:space="preserve"> y Vizcaya</w:t>
      </w:r>
      <w:r w:rsidR="005B4F97">
        <w:rPr>
          <w:rFonts w:ascii="Century" w:hAnsi="Century"/>
          <w:bCs/>
        </w:rPr>
        <w:t>,</w:t>
      </w:r>
      <w:r w:rsidRPr="002C13F3">
        <w:rPr>
          <w:rFonts w:ascii="Century" w:hAnsi="Century"/>
        </w:rPr>
        <w:t xml:space="preserve"> de 215.000 euros.</w:t>
      </w:r>
      <w:r w:rsidRPr="002C13F3">
        <w:rPr>
          <w:rFonts w:ascii="Century" w:hAnsi="Century"/>
          <w:bCs/>
        </w:rPr>
        <w:t xml:space="preserve"> El Estado también </w:t>
      </w:r>
      <w:r w:rsidR="00035BE6">
        <w:rPr>
          <w:rFonts w:ascii="Century" w:hAnsi="Century"/>
          <w:bCs/>
        </w:rPr>
        <w:t>prevé</w:t>
      </w:r>
      <w:r w:rsidRPr="002C13F3">
        <w:rPr>
          <w:rFonts w:ascii="Century" w:hAnsi="Century"/>
          <w:bCs/>
        </w:rPr>
        <w:t xml:space="preserve"> esta reducción</w:t>
      </w:r>
      <w:r w:rsidR="00035BE6">
        <w:rPr>
          <w:rFonts w:ascii="Century" w:hAnsi="Century"/>
          <w:bCs/>
        </w:rPr>
        <w:t>, con carácter general,</w:t>
      </w:r>
      <w:r w:rsidRPr="002C13F3">
        <w:rPr>
          <w:rFonts w:ascii="Century" w:hAnsi="Century"/>
          <w:bCs/>
        </w:rPr>
        <w:t xml:space="preserve"> </w:t>
      </w:r>
      <w:r w:rsidRPr="002C13F3">
        <w:rPr>
          <w:rFonts w:ascii="Century" w:hAnsi="Century"/>
        </w:rPr>
        <w:t>co</w:t>
      </w:r>
      <w:r w:rsidR="00035BE6">
        <w:rPr>
          <w:rFonts w:ascii="Century" w:hAnsi="Century"/>
        </w:rPr>
        <w:t>n el límite de 122.606,47 euros, aplicable en defecto de regulación autonómica propia.</w:t>
      </w:r>
    </w:p>
    <w:p w:rsidR="00DB54E9" w:rsidRPr="002C13F3" w:rsidRDefault="00DB54E9" w:rsidP="002D11BC">
      <w:pPr>
        <w:pStyle w:val="NormalWeb"/>
        <w:spacing w:before="0" w:beforeAutospacing="0" w:after="240" w:afterAutospacing="0" w:line="360" w:lineRule="auto"/>
        <w:jc w:val="both"/>
        <w:rPr>
          <w:rFonts w:ascii="Century" w:hAnsi="Century"/>
          <w:bCs/>
        </w:rPr>
      </w:pPr>
      <w:r w:rsidRPr="002C13F3">
        <w:rPr>
          <w:rFonts w:ascii="Century" w:hAnsi="Century"/>
        </w:rPr>
        <w:tab/>
        <w:t>También hay que considerar las CCAA que aplican una reducción comprendida</w:t>
      </w:r>
      <w:r w:rsidR="000E688B">
        <w:rPr>
          <w:rFonts w:ascii="Century" w:hAnsi="Century"/>
        </w:rPr>
        <w:t xml:space="preserve"> entre el 95 y el 100 por cien</w:t>
      </w:r>
      <w:r w:rsidR="00035BE6">
        <w:rPr>
          <w:rFonts w:ascii="Century" w:hAnsi="Century"/>
        </w:rPr>
        <w:t>,</w:t>
      </w:r>
      <w:r w:rsidRPr="002C13F3">
        <w:rPr>
          <w:rFonts w:ascii="Century" w:hAnsi="Century"/>
        </w:rPr>
        <w:t xml:space="preserve"> dependiendo del valor real del inmueble, como son Andalucía y Extremadura. En cambio, Asturias y Galicia establecerán una reducción entre el 95 y el 99 por ciento dependiendo del valor real del inmueble, teniendo en cuenta en </w:t>
      </w:r>
      <w:r w:rsidRPr="002C13F3">
        <w:rPr>
          <w:rFonts w:ascii="Century" w:hAnsi="Century"/>
          <w:bCs/>
        </w:rPr>
        <w:t xml:space="preserve">esta última Comunidad el límite de 600.000 euros. </w:t>
      </w:r>
    </w:p>
    <w:p w:rsidR="00DB54E9" w:rsidRPr="002C13F3" w:rsidRDefault="00DB54E9" w:rsidP="002D11BC">
      <w:pPr>
        <w:pStyle w:val="NormalWeb"/>
        <w:spacing w:before="0" w:beforeAutospacing="0" w:after="240" w:afterAutospacing="0" w:line="360" w:lineRule="auto"/>
        <w:jc w:val="both"/>
        <w:rPr>
          <w:rFonts w:ascii="Century" w:eastAsiaTheme="majorEastAsia" w:hAnsi="Century"/>
        </w:rPr>
      </w:pPr>
      <w:r w:rsidRPr="002C13F3">
        <w:rPr>
          <w:rFonts w:ascii="Century" w:hAnsi="Century"/>
          <w:bCs/>
        </w:rPr>
        <w:lastRenderedPageBreak/>
        <w:tab/>
      </w:r>
      <w:r w:rsidR="00035BE6">
        <w:rPr>
          <w:rFonts w:ascii="Century" w:hAnsi="Century"/>
          <w:bCs/>
        </w:rPr>
        <w:t>Junto a la reducción expuesta, existe en segundo término la aplicable a</w:t>
      </w:r>
      <w:r w:rsidRPr="002C13F3">
        <w:rPr>
          <w:rFonts w:ascii="Century" w:hAnsi="Century"/>
        </w:rPr>
        <w:t xml:space="preserve"> las cantidades percibidas por los beneficiarios de contratos de seguros sobre la vida, cuando su parentesco con el causante fallecido sea de cónyuge, ascendiente o adoptante, descendiente o adoptado. Las siguientes CCAA establecerán </w:t>
      </w:r>
      <w:r w:rsidR="000E688B">
        <w:rPr>
          <w:rFonts w:ascii="Century" w:hAnsi="Century"/>
        </w:rPr>
        <w:t>una reducción del 100 por cien</w:t>
      </w:r>
      <w:r w:rsidRPr="002C13F3">
        <w:rPr>
          <w:rFonts w:ascii="Century" w:hAnsi="Century"/>
        </w:rPr>
        <w:t>, con un límite establecido por cada una de ella</w:t>
      </w:r>
      <w:r w:rsidR="00035BE6">
        <w:rPr>
          <w:rFonts w:ascii="Century" w:hAnsi="Century"/>
        </w:rPr>
        <w:t>s</w:t>
      </w:r>
      <w:r w:rsidRPr="00514069">
        <w:rPr>
          <w:rFonts w:asciiTheme="minorHAnsi" w:hAnsiTheme="minorHAnsi" w:cstheme="minorHAnsi"/>
        </w:rPr>
        <w:t>:</w:t>
      </w:r>
      <w:r w:rsidRPr="002C13F3">
        <w:rPr>
          <w:rFonts w:ascii="Century" w:hAnsi="Century"/>
        </w:rPr>
        <w:t xml:space="preserve"> Baleares</w:t>
      </w:r>
      <w:r w:rsidR="00035BE6">
        <w:rPr>
          <w:rFonts w:ascii="Century" w:hAnsi="Century"/>
        </w:rPr>
        <w:t>, con un límite de 12.000 euros</w:t>
      </w:r>
      <w:r w:rsidR="00035BE6" w:rsidRPr="00035BE6">
        <w:rPr>
          <w:rFonts w:asciiTheme="minorHAnsi" w:hAnsiTheme="minorHAnsi" w:cstheme="minorHAnsi"/>
        </w:rPr>
        <w:t>;</w:t>
      </w:r>
      <w:r w:rsidRPr="002C13F3">
        <w:rPr>
          <w:rFonts w:ascii="Century" w:hAnsi="Century"/>
        </w:rPr>
        <w:t xml:space="preserve"> Canarias</w:t>
      </w:r>
      <w:r w:rsidR="00035BE6">
        <w:rPr>
          <w:rFonts w:ascii="Century" w:hAnsi="Century"/>
        </w:rPr>
        <w:t>, de 23.150 euros</w:t>
      </w:r>
      <w:r w:rsidR="00035BE6" w:rsidRPr="00035BE6">
        <w:rPr>
          <w:rFonts w:asciiTheme="minorHAnsi" w:hAnsiTheme="minorHAnsi" w:cstheme="minorHAnsi"/>
        </w:rPr>
        <w:t>;</w:t>
      </w:r>
      <w:r w:rsidRPr="002C13F3">
        <w:rPr>
          <w:rFonts w:ascii="Century" w:hAnsi="Century"/>
        </w:rPr>
        <w:t xml:space="preserve"> Cantabria</w:t>
      </w:r>
      <w:r w:rsidR="00035BE6">
        <w:rPr>
          <w:rFonts w:ascii="Century" w:hAnsi="Century"/>
        </w:rPr>
        <w:t>, sin establecimiento de límite</w:t>
      </w:r>
      <w:r w:rsidR="00035BE6" w:rsidRPr="00035BE6">
        <w:rPr>
          <w:rFonts w:asciiTheme="minorHAnsi" w:hAnsiTheme="minorHAnsi" w:cstheme="minorHAnsi"/>
        </w:rPr>
        <w:t>;</w:t>
      </w:r>
      <w:r w:rsidRPr="002C13F3">
        <w:rPr>
          <w:rFonts w:ascii="Century" w:hAnsi="Century"/>
        </w:rPr>
        <w:t xml:space="preserve"> Cataluña</w:t>
      </w:r>
      <w:r w:rsidR="00035BE6">
        <w:rPr>
          <w:rFonts w:ascii="Century" w:hAnsi="Century"/>
        </w:rPr>
        <w:t>, de 25.000 euros</w:t>
      </w:r>
      <w:r w:rsidR="00035BE6" w:rsidRPr="00035BE6">
        <w:rPr>
          <w:rFonts w:asciiTheme="minorHAnsi" w:hAnsiTheme="minorHAnsi" w:cstheme="minorHAnsi"/>
        </w:rPr>
        <w:t>;</w:t>
      </w:r>
      <w:r w:rsidRPr="002C13F3">
        <w:rPr>
          <w:rFonts w:ascii="Century" w:hAnsi="Century"/>
        </w:rPr>
        <w:t xml:space="preserve"> Madrid</w:t>
      </w:r>
      <w:r w:rsidR="00035BE6">
        <w:rPr>
          <w:rFonts w:ascii="Century" w:hAnsi="Century"/>
        </w:rPr>
        <w:t>,</w:t>
      </w:r>
      <w:r w:rsidRPr="002C13F3">
        <w:rPr>
          <w:rFonts w:ascii="Century" w:hAnsi="Century"/>
        </w:rPr>
        <w:t xml:space="preserve"> de 9.200 euros</w:t>
      </w:r>
      <w:r w:rsidR="00035BE6" w:rsidRPr="00035BE6">
        <w:rPr>
          <w:rFonts w:asciiTheme="minorHAnsi" w:hAnsiTheme="minorHAnsi" w:cstheme="minorHAnsi"/>
        </w:rPr>
        <w:t>;</w:t>
      </w:r>
      <w:r w:rsidRPr="002C13F3">
        <w:rPr>
          <w:rFonts w:ascii="Century" w:hAnsi="Century"/>
        </w:rPr>
        <w:t xml:space="preserve"> y</w:t>
      </w:r>
      <w:r w:rsidR="00035BE6">
        <w:rPr>
          <w:rFonts w:ascii="Century" w:hAnsi="Century"/>
        </w:rPr>
        <w:t>,</w:t>
      </w:r>
      <w:r w:rsidRPr="002C13F3">
        <w:rPr>
          <w:rFonts w:ascii="Century" w:hAnsi="Century"/>
        </w:rPr>
        <w:t xml:space="preserve"> Álava</w:t>
      </w:r>
      <w:r w:rsidR="00035BE6">
        <w:rPr>
          <w:rFonts w:ascii="Century" w:hAnsi="Century"/>
        </w:rPr>
        <w:t>,</w:t>
      </w:r>
      <w:r w:rsidRPr="002C13F3">
        <w:rPr>
          <w:rFonts w:ascii="Century" w:hAnsi="Century"/>
        </w:rPr>
        <w:t xml:space="preserve"> sin establecimiento de lí</w:t>
      </w:r>
      <w:r w:rsidR="00035BE6">
        <w:rPr>
          <w:rFonts w:ascii="Century" w:hAnsi="Century"/>
        </w:rPr>
        <w:t>mite. También el Estado aplica</w:t>
      </w:r>
      <w:r w:rsidRPr="002C13F3">
        <w:rPr>
          <w:rFonts w:ascii="Century" w:hAnsi="Century"/>
        </w:rPr>
        <w:t xml:space="preserve"> esta reducción con un límite de 9.195,49 euros. </w:t>
      </w:r>
      <w:r w:rsidR="00035BE6">
        <w:rPr>
          <w:rFonts w:ascii="Century" w:hAnsi="Century"/>
        </w:rPr>
        <w:t>E</w:t>
      </w:r>
      <w:r w:rsidRPr="002C13F3">
        <w:rPr>
          <w:rFonts w:ascii="Century" w:hAnsi="Century"/>
        </w:rPr>
        <w:t xml:space="preserve">n Murcia, la base de reducción para las cantidades percibidas por seguros sobre la vida será la parte no sujeta a la reducción a que se refiere el </w:t>
      </w:r>
      <w:r w:rsidRPr="002C13F3">
        <w:rPr>
          <w:rFonts w:ascii="Century" w:eastAsiaTheme="majorEastAsia" w:hAnsi="Century"/>
        </w:rPr>
        <w:t xml:space="preserve">artículo 20.2.b) de la LISD. </w:t>
      </w:r>
    </w:p>
    <w:p w:rsidR="00DB54E9" w:rsidRPr="002C13F3" w:rsidRDefault="00DB54E9" w:rsidP="002D11BC">
      <w:pPr>
        <w:pStyle w:val="NormalWeb"/>
        <w:spacing w:before="0" w:beforeAutospacing="0" w:after="240" w:afterAutospacing="0" w:line="360" w:lineRule="auto"/>
        <w:jc w:val="both"/>
        <w:rPr>
          <w:rFonts w:ascii="Century" w:hAnsi="Century"/>
        </w:rPr>
      </w:pPr>
      <w:r w:rsidRPr="002C13F3">
        <w:rPr>
          <w:rFonts w:ascii="Century" w:eastAsiaTheme="majorEastAsia" w:hAnsi="Century"/>
        </w:rPr>
        <w:tab/>
        <w:t xml:space="preserve">En </w:t>
      </w:r>
      <w:r w:rsidR="008B0007">
        <w:rPr>
          <w:rFonts w:ascii="Century" w:eastAsiaTheme="majorEastAsia" w:hAnsi="Century"/>
        </w:rPr>
        <w:t xml:space="preserve">los territorios forales, esta reducción varía. Así, en  </w:t>
      </w:r>
      <w:r w:rsidRPr="002C13F3">
        <w:rPr>
          <w:rFonts w:ascii="Century" w:eastAsiaTheme="majorEastAsia" w:hAnsi="Century"/>
        </w:rPr>
        <w:t xml:space="preserve">Navarra, las </w:t>
      </w:r>
      <w:r w:rsidRPr="002C13F3">
        <w:rPr>
          <w:rFonts w:ascii="Century" w:hAnsi="Century"/>
        </w:rPr>
        <w:t>percepciones de cantidades de las entidades aseguradoras de contratos de seguros que se hubieran celebrado antes del 24 de junio de 1992, disfrutarán de las siguientes reducciones</w:t>
      </w:r>
      <w:r w:rsidRPr="00514069">
        <w:rPr>
          <w:rFonts w:asciiTheme="minorHAnsi" w:hAnsiTheme="minorHAnsi" w:cstheme="minorHAnsi"/>
        </w:rPr>
        <w:t>:</w:t>
      </w:r>
      <w:r w:rsidRPr="002C13F3">
        <w:rPr>
          <w:rFonts w:ascii="Century" w:hAnsi="Century"/>
        </w:rPr>
        <w:t xml:space="preserve"> del 90 por ciento de las cantidades que excedan de 3.005,06 euros</w:t>
      </w:r>
      <w:r w:rsidR="008B0007">
        <w:rPr>
          <w:rFonts w:ascii="Century" w:hAnsi="Century"/>
        </w:rPr>
        <w:t>,</w:t>
      </w:r>
      <w:r w:rsidRPr="002C13F3">
        <w:rPr>
          <w:rFonts w:ascii="Century" w:hAnsi="Century"/>
        </w:rPr>
        <w:t xml:space="preserve"> cuando el parentesco entre el contratante y el beneficiario sea el de ascendiente o descendiente por afinidad</w:t>
      </w:r>
      <w:r w:rsidRPr="00EC29FC">
        <w:rPr>
          <w:rFonts w:asciiTheme="minorHAnsi" w:hAnsiTheme="minorHAnsi" w:cstheme="minorHAnsi"/>
        </w:rPr>
        <w:t>;</w:t>
      </w:r>
      <w:r w:rsidRPr="002C13F3">
        <w:rPr>
          <w:rFonts w:ascii="Century" w:hAnsi="Century"/>
        </w:rPr>
        <w:t xml:space="preserve"> del 50 por ciento cuando el parentesco entre el contratante y el beneficiario sea el de colateral de segundo grado</w:t>
      </w:r>
      <w:r w:rsidRPr="00EC29FC">
        <w:rPr>
          <w:rFonts w:asciiTheme="minorHAnsi" w:hAnsiTheme="minorHAnsi" w:cstheme="minorHAnsi"/>
        </w:rPr>
        <w:t>;</w:t>
      </w:r>
      <w:r w:rsidRPr="002C13F3">
        <w:rPr>
          <w:rFonts w:ascii="Century" w:hAnsi="Century"/>
        </w:rPr>
        <w:t xml:space="preserve"> del 25 por ciento cuando el parentesco entre el contratante y el beneficiario sea el de colateral de tercer o cuarto grado</w:t>
      </w:r>
      <w:r w:rsidRPr="00EC29FC">
        <w:rPr>
          <w:rFonts w:asciiTheme="minorHAnsi" w:hAnsiTheme="minorHAnsi" w:cstheme="minorHAnsi"/>
        </w:rPr>
        <w:t>;</w:t>
      </w:r>
      <w:r w:rsidRPr="002C13F3">
        <w:rPr>
          <w:rFonts w:ascii="Century" w:hAnsi="Century"/>
        </w:rPr>
        <w:t xml:space="preserve"> y</w:t>
      </w:r>
      <w:r w:rsidR="008B0007">
        <w:rPr>
          <w:rFonts w:ascii="Century" w:hAnsi="Century"/>
        </w:rPr>
        <w:t>,</w:t>
      </w:r>
      <w:r w:rsidRPr="002C13F3">
        <w:rPr>
          <w:rFonts w:ascii="Century" w:hAnsi="Century"/>
        </w:rPr>
        <w:t xml:space="preserve"> del 10 por ciento cuando dicho parentesco sea más distante o no exista parentesco.</w:t>
      </w:r>
      <w:r w:rsidRPr="002C13F3">
        <w:rPr>
          <w:rFonts w:ascii="Century" w:hAnsi="Century"/>
        </w:rPr>
        <w:tab/>
        <w:t>En Guipúzcoa, para el cónyuge o pareja de hecho, descendientes o adoptados, ascendientes o adoptantes,</w:t>
      </w:r>
      <w:r w:rsidR="008B0007">
        <w:rPr>
          <w:rFonts w:ascii="Century" w:hAnsi="Century"/>
        </w:rPr>
        <w:t xml:space="preserve"> se aplicará</w:t>
      </w:r>
      <w:r w:rsidRPr="002C13F3">
        <w:rPr>
          <w:rFonts w:ascii="Century" w:hAnsi="Century"/>
        </w:rPr>
        <w:t xml:space="preserve"> una reducción de 400.000 euros</w:t>
      </w:r>
      <w:r w:rsidRPr="00EC29FC">
        <w:rPr>
          <w:rFonts w:asciiTheme="minorHAnsi" w:hAnsiTheme="minorHAnsi" w:cstheme="minorHAnsi"/>
        </w:rPr>
        <w:t>;</w:t>
      </w:r>
      <w:r w:rsidRPr="002C13F3">
        <w:rPr>
          <w:rFonts w:ascii="Century" w:hAnsi="Century"/>
        </w:rPr>
        <w:t xml:space="preserve"> para los colaterales de segundo y tercer grado por consanguinidad, ascendientes y descendientes por afinidad, incluidos los resultantes de la constitución de una pareja de hecho, una de 16.150 euros, así como del 25 por ciento de la cantidad restante</w:t>
      </w:r>
      <w:r w:rsidRPr="00EC29FC">
        <w:rPr>
          <w:rFonts w:asciiTheme="minorHAnsi" w:hAnsiTheme="minorHAnsi" w:cstheme="minorHAnsi"/>
        </w:rPr>
        <w:t>;</w:t>
      </w:r>
      <w:r w:rsidRPr="002C13F3">
        <w:rPr>
          <w:rFonts w:ascii="Century" w:hAnsi="Century"/>
        </w:rPr>
        <w:t xml:space="preserve"> y</w:t>
      </w:r>
      <w:r w:rsidR="008B0007">
        <w:rPr>
          <w:rFonts w:ascii="Century" w:hAnsi="Century"/>
        </w:rPr>
        <w:t>,</w:t>
      </w:r>
      <w:r w:rsidRPr="002C13F3">
        <w:rPr>
          <w:rFonts w:ascii="Century" w:hAnsi="Century"/>
        </w:rPr>
        <w:t xml:space="preserve"> para colaterales de cuarto grado, colaterales de segundo y tercer grado por afinidad, incluidos los resultantes de la constitución de una pareja de hecho, una de 8.075 euros. Se aplicará </w:t>
      </w:r>
      <w:r w:rsidR="000E688B">
        <w:rPr>
          <w:rFonts w:ascii="Century" w:hAnsi="Century"/>
        </w:rPr>
        <w:t>una reducción del 100 por cien</w:t>
      </w:r>
      <w:r w:rsidRPr="002C13F3">
        <w:rPr>
          <w:rFonts w:ascii="Century" w:hAnsi="Century"/>
        </w:rPr>
        <w:t xml:space="preserve"> cuando se trate de </w:t>
      </w:r>
      <w:r w:rsidRPr="002C13F3">
        <w:rPr>
          <w:rFonts w:ascii="Century" w:hAnsi="Century"/>
        </w:rPr>
        <w:lastRenderedPageBreak/>
        <w:t>cantidades percibidas por razón de los seguros sobre la vida que traigan causa en actos de terrorismo, así como en servicios prestados en misiones internacionales humanitarias o de paz de carácter público.</w:t>
      </w:r>
      <w:r w:rsidR="008B0007">
        <w:rPr>
          <w:rFonts w:ascii="Century" w:hAnsi="Century"/>
        </w:rPr>
        <w:t xml:space="preserve"> Finalmente, en Vizcaya</w:t>
      </w:r>
      <w:r w:rsidRPr="002C13F3">
        <w:rPr>
          <w:rFonts w:ascii="Century" w:hAnsi="Century"/>
        </w:rPr>
        <w:t xml:space="preserve"> se practicarán las siguientes reducciones</w:t>
      </w:r>
      <w:r w:rsidRPr="00514069">
        <w:rPr>
          <w:rFonts w:asciiTheme="minorHAnsi" w:hAnsiTheme="minorHAnsi" w:cstheme="minorHAnsi"/>
        </w:rPr>
        <w:t>:</w:t>
      </w:r>
      <w:r w:rsidRPr="002C13F3">
        <w:rPr>
          <w:rFonts w:ascii="Century" w:hAnsi="Century"/>
        </w:rPr>
        <w:t xml:space="preserve"> para el cónyuge o pareja de hecho, descendientes o ascendientes en línea recta por consanguinidad o adoptantes o adoptados, una reducción de 400.000 euros</w:t>
      </w:r>
      <w:r w:rsidRPr="00EC29FC">
        <w:rPr>
          <w:rFonts w:asciiTheme="minorHAnsi" w:hAnsiTheme="minorHAnsi" w:cstheme="minorHAnsi"/>
        </w:rPr>
        <w:t>;</w:t>
      </w:r>
      <w:r w:rsidRPr="002C13F3">
        <w:rPr>
          <w:rFonts w:ascii="Century" w:hAnsi="Century"/>
        </w:rPr>
        <w:t xml:space="preserve"> para los colaterales de segundo y tercer grado por consanguinidad, ascendientes y descendientes por afinidad, incluidos los resultantes de la constitución de una pareja de hecho, una del 50 por ciento con el límite de 200.000 euros</w:t>
      </w:r>
      <w:r w:rsidRPr="00EC29FC">
        <w:rPr>
          <w:rFonts w:asciiTheme="minorHAnsi" w:hAnsiTheme="minorHAnsi" w:cstheme="minorHAnsi"/>
        </w:rPr>
        <w:t>;</w:t>
      </w:r>
      <w:r w:rsidRPr="002C13F3">
        <w:rPr>
          <w:rFonts w:ascii="Century" w:hAnsi="Century"/>
        </w:rPr>
        <w:t xml:space="preserve"> y</w:t>
      </w:r>
      <w:r w:rsidR="008B0007">
        <w:rPr>
          <w:rFonts w:ascii="Century" w:hAnsi="Century"/>
        </w:rPr>
        <w:t>,</w:t>
      </w:r>
      <w:r w:rsidRPr="002C13F3">
        <w:rPr>
          <w:rFonts w:ascii="Century" w:hAnsi="Century"/>
        </w:rPr>
        <w:t xml:space="preserve"> para los colaterales de cuarto grado, colaterales de segundo y tercer grado por afinidad, grados más distantes y extraños, una del 10 por ciento</w:t>
      </w:r>
      <w:r w:rsidR="008B0007">
        <w:rPr>
          <w:rFonts w:ascii="Century" w:hAnsi="Century"/>
        </w:rPr>
        <w:t>,</w:t>
      </w:r>
      <w:r w:rsidRPr="002C13F3">
        <w:rPr>
          <w:rFonts w:ascii="Century" w:hAnsi="Century"/>
        </w:rPr>
        <w:t xml:space="preserve"> con el límite de 40.000 euros.</w:t>
      </w:r>
    </w:p>
    <w:p w:rsidR="00DB54E9" w:rsidRPr="002C13F3" w:rsidRDefault="00DB54E9" w:rsidP="002D11BC">
      <w:pPr>
        <w:pStyle w:val="NormalWeb"/>
        <w:spacing w:before="0" w:beforeAutospacing="0" w:after="240" w:afterAutospacing="0" w:line="360" w:lineRule="auto"/>
        <w:jc w:val="both"/>
        <w:rPr>
          <w:rFonts w:ascii="Century" w:hAnsi="Century"/>
        </w:rPr>
      </w:pPr>
      <w:r w:rsidRPr="002C13F3">
        <w:rPr>
          <w:rFonts w:ascii="Century" w:hAnsi="Century"/>
        </w:rPr>
        <w:tab/>
      </w:r>
      <w:r w:rsidR="008B0007">
        <w:rPr>
          <w:rFonts w:ascii="Century" w:hAnsi="Century"/>
        </w:rPr>
        <w:t>E</w:t>
      </w:r>
      <w:r w:rsidRPr="002C13F3">
        <w:rPr>
          <w:rFonts w:ascii="Century" w:hAnsi="Century"/>
        </w:rPr>
        <w:t xml:space="preserve">n los casos en los que en la base imponible de una adquisición </w:t>
      </w:r>
      <w:r w:rsidRPr="002C13F3">
        <w:rPr>
          <w:rFonts w:ascii="Century" w:hAnsi="Century"/>
          <w:i/>
        </w:rPr>
        <w:t>mortis causa</w:t>
      </w:r>
      <w:r w:rsidRPr="002C13F3">
        <w:rPr>
          <w:rFonts w:ascii="Century" w:hAnsi="Century"/>
        </w:rPr>
        <w:t xml:space="preserve"> que corresponda a los cónyuges, descendientes o adoptados de la persona fallecida, estuviese incluido el valor de una empresa individual, de un negocio profesional o participaciones en entidades correspondientes a una Comunidad Autónoma, se aplicarán </w:t>
      </w:r>
      <w:r w:rsidR="008B0007">
        <w:rPr>
          <w:rFonts w:ascii="Century" w:hAnsi="Century"/>
        </w:rPr>
        <w:t>también otras</w:t>
      </w:r>
      <w:r w:rsidRPr="002C13F3">
        <w:rPr>
          <w:rFonts w:ascii="Century" w:hAnsi="Century"/>
        </w:rPr>
        <w:t xml:space="preserve"> reducciones, siempre que se mantenga la adquisición durante un tiempo establecido por cada Comunidad Autónoma, después del fallecimiento del causante, salvo que falleciese el adquirente dentro de este plazo. No obstante, cuando no existan descendientes, la reducción podrá ser aplicada por ascendientes y colaterales hasta el tercer grado. Esta reducción se regula en todas las CCAA</w:t>
      </w:r>
      <w:r w:rsidR="008B0007">
        <w:rPr>
          <w:rFonts w:ascii="Century" w:hAnsi="Century"/>
        </w:rPr>
        <w:t>,</w:t>
      </w:r>
      <w:r w:rsidRPr="002C13F3">
        <w:rPr>
          <w:rFonts w:ascii="Century" w:hAnsi="Century"/>
        </w:rPr>
        <w:t xml:space="preserve"> excepto en la Comunidad Foral de Navarra. </w:t>
      </w:r>
    </w:p>
    <w:p w:rsidR="00DB54E9" w:rsidRPr="002C13F3" w:rsidRDefault="00DB54E9" w:rsidP="002D11BC">
      <w:pPr>
        <w:spacing w:after="240" w:line="360" w:lineRule="auto"/>
        <w:jc w:val="both"/>
        <w:rPr>
          <w:rFonts w:ascii="Century" w:hAnsi="Century"/>
          <w:bCs/>
          <w:sz w:val="24"/>
          <w:szCs w:val="24"/>
        </w:rPr>
      </w:pPr>
      <w:r w:rsidRPr="002C13F3">
        <w:rPr>
          <w:rFonts w:ascii="Century" w:hAnsi="Century"/>
          <w:sz w:val="24"/>
          <w:szCs w:val="24"/>
        </w:rPr>
        <w:tab/>
        <w:t xml:space="preserve">Para comparar las CCAA, es conveniente agruparlas según el criterio del porcentaje de reducción aplicado. Así pues, Extremadura es la única Comunidad que establece </w:t>
      </w:r>
      <w:r w:rsidR="000E688B">
        <w:rPr>
          <w:rFonts w:ascii="Century" w:hAnsi="Century"/>
          <w:sz w:val="24"/>
          <w:szCs w:val="24"/>
        </w:rPr>
        <w:t>una reducción del 100 por cien</w:t>
      </w:r>
      <w:r w:rsidRPr="002C13F3">
        <w:rPr>
          <w:rFonts w:ascii="Century" w:hAnsi="Century"/>
          <w:sz w:val="24"/>
          <w:szCs w:val="24"/>
        </w:rPr>
        <w:t xml:space="preserve"> sobre el mencionado valor. Aquellas Comunidades que establecen un porcentaje de reducción del 99 por ciento son</w:t>
      </w:r>
      <w:r w:rsidRPr="00514069">
        <w:rPr>
          <w:rFonts w:cstheme="minorHAnsi"/>
          <w:sz w:val="24"/>
          <w:szCs w:val="24"/>
        </w:rPr>
        <w:t>:</w:t>
      </w:r>
      <w:r w:rsidRPr="002C13F3">
        <w:rPr>
          <w:rFonts w:ascii="Century" w:hAnsi="Century"/>
          <w:sz w:val="24"/>
          <w:szCs w:val="24"/>
        </w:rPr>
        <w:t xml:space="preserve"> Andalucía, Aragón, Asturias, Canarias, Cantabria, Castilla-La Mancha, Castilla y León, Madrid, Galicia, La Rioja y Murcia. </w:t>
      </w:r>
      <w:r w:rsidR="008B0007">
        <w:rPr>
          <w:rFonts w:ascii="Century" w:hAnsi="Century"/>
          <w:sz w:val="24"/>
          <w:szCs w:val="24"/>
        </w:rPr>
        <w:t>E</w:t>
      </w:r>
      <w:r w:rsidRPr="002C13F3">
        <w:rPr>
          <w:rFonts w:ascii="Century" w:hAnsi="Century"/>
          <w:sz w:val="24"/>
          <w:szCs w:val="24"/>
        </w:rPr>
        <w:t>n Asturias y Castilla-La Mancha, se aplicará la reducción estatal del 95 por ciento</w:t>
      </w:r>
      <w:r w:rsidR="008B0007">
        <w:rPr>
          <w:rFonts w:ascii="Century" w:hAnsi="Century"/>
          <w:sz w:val="24"/>
          <w:szCs w:val="24"/>
        </w:rPr>
        <w:t>,</w:t>
      </w:r>
      <w:r w:rsidRPr="002C13F3">
        <w:rPr>
          <w:rFonts w:ascii="Century" w:hAnsi="Century"/>
          <w:sz w:val="24"/>
          <w:szCs w:val="24"/>
        </w:rPr>
        <w:t xml:space="preserve"> más la reducción propia del 4 por ciento del mencionado </w:t>
      </w:r>
      <w:r w:rsidRPr="002C13F3">
        <w:rPr>
          <w:rFonts w:ascii="Century" w:hAnsi="Century"/>
          <w:sz w:val="24"/>
          <w:szCs w:val="24"/>
        </w:rPr>
        <w:lastRenderedPageBreak/>
        <w:t>valor. No obstante, en algunas de ellas habrá que cumplir una serie de requisitos establecidos en las correspondientes normativas autonómicas sobre esta materia.</w:t>
      </w:r>
      <w:r w:rsidR="008B0007">
        <w:rPr>
          <w:rStyle w:val="Refdenotaalpie"/>
          <w:rFonts w:ascii="Century" w:hAnsi="Century"/>
          <w:sz w:val="24"/>
          <w:szCs w:val="24"/>
        </w:rPr>
        <w:footnoteReference w:id="53"/>
      </w:r>
      <w:r w:rsidR="008B0007">
        <w:rPr>
          <w:rFonts w:ascii="Century" w:hAnsi="Century"/>
          <w:sz w:val="24"/>
          <w:szCs w:val="24"/>
        </w:rPr>
        <w:t xml:space="preserve"> Otras CCAA regulan</w:t>
      </w:r>
      <w:r w:rsidRPr="002C13F3">
        <w:rPr>
          <w:rFonts w:ascii="Century" w:hAnsi="Century"/>
          <w:bCs/>
          <w:sz w:val="24"/>
          <w:szCs w:val="24"/>
        </w:rPr>
        <w:t xml:space="preserve"> una reducción del 95 por ciento</w:t>
      </w:r>
      <w:r w:rsidRPr="00514069">
        <w:rPr>
          <w:rFonts w:cstheme="minorHAnsi"/>
          <w:bCs/>
          <w:sz w:val="24"/>
          <w:szCs w:val="24"/>
        </w:rPr>
        <w:t>:</w:t>
      </w:r>
      <w:r w:rsidRPr="002C13F3">
        <w:rPr>
          <w:rFonts w:ascii="Century" w:hAnsi="Century"/>
          <w:bCs/>
          <w:sz w:val="24"/>
          <w:szCs w:val="24"/>
        </w:rPr>
        <w:t xml:space="preserve"> Baleares, Canarias (para los ascendientes, adoptantes y colaterales, en su caso), Cataluña (en caso de adquisición de participaciones </w:t>
      </w:r>
      <w:r w:rsidRPr="002C13F3">
        <w:rPr>
          <w:rFonts w:ascii="Century" w:hAnsi="Century"/>
          <w:sz w:val="24"/>
          <w:szCs w:val="24"/>
        </w:rPr>
        <w:t>en sociedades laborales, la reducción establecida será del 97 por ciento), Valencia, Álava y Vizcaya. El Est</w:t>
      </w:r>
      <w:r w:rsidR="008B0007">
        <w:rPr>
          <w:rFonts w:ascii="Century" w:hAnsi="Century"/>
          <w:sz w:val="24"/>
          <w:szCs w:val="24"/>
        </w:rPr>
        <w:t xml:space="preserve">ado también aplica, con carácter general, </w:t>
      </w:r>
      <w:r w:rsidRPr="002C13F3">
        <w:rPr>
          <w:rFonts w:ascii="Century" w:hAnsi="Century"/>
          <w:sz w:val="24"/>
          <w:szCs w:val="24"/>
        </w:rPr>
        <w:t xml:space="preserve">este tipo de porcentaje de reducción. </w:t>
      </w:r>
      <w:r w:rsidR="008B0007">
        <w:rPr>
          <w:rFonts w:ascii="Century" w:hAnsi="Century"/>
          <w:sz w:val="24"/>
          <w:szCs w:val="24"/>
        </w:rPr>
        <w:t>Finalmente, Guipúzcoa establece</w:t>
      </w:r>
      <w:r w:rsidRPr="002C13F3">
        <w:rPr>
          <w:rFonts w:ascii="Century" w:hAnsi="Century"/>
          <w:sz w:val="24"/>
          <w:szCs w:val="24"/>
        </w:rPr>
        <w:t xml:space="preserve"> una reducción del 75 por ciento.</w:t>
      </w:r>
    </w:p>
    <w:p w:rsidR="00DB54E9" w:rsidRPr="002C13F3" w:rsidRDefault="00F72A77" w:rsidP="002D11BC">
      <w:pPr>
        <w:spacing w:after="240" w:line="360" w:lineRule="auto"/>
        <w:jc w:val="both"/>
        <w:rPr>
          <w:rFonts w:ascii="Century" w:hAnsi="Century"/>
          <w:sz w:val="24"/>
          <w:szCs w:val="24"/>
        </w:rPr>
      </w:pPr>
      <w:r>
        <w:rPr>
          <w:rFonts w:ascii="Century" w:eastAsia="Times New Roman" w:hAnsi="Century" w:cs="Times New Roman"/>
          <w:bCs/>
          <w:sz w:val="24"/>
          <w:szCs w:val="24"/>
        </w:rPr>
        <w:tab/>
      </w:r>
      <w:r w:rsidR="008B0007">
        <w:rPr>
          <w:rFonts w:ascii="Century" w:eastAsia="Times New Roman" w:hAnsi="Century" w:cs="Times New Roman"/>
          <w:bCs/>
          <w:sz w:val="24"/>
          <w:szCs w:val="24"/>
        </w:rPr>
        <w:t>Siguiendo con el análisis de las reducciones, cabe indicar en cuarto lugar</w:t>
      </w:r>
      <w:r w:rsidR="009847D5">
        <w:rPr>
          <w:rFonts w:ascii="Century" w:eastAsia="Times New Roman" w:hAnsi="Century" w:cs="Times New Roman"/>
          <w:bCs/>
          <w:sz w:val="24"/>
          <w:szCs w:val="24"/>
        </w:rPr>
        <w:t xml:space="preserve"> que</w:t>
      </w:r>
      <w:r w:rsidR="008B0007">
        <w:rPr>
          <w:rFonts w:ascii="Century" w:eastAsia="Times New Roman" w:hAnsi="Century" w:cs="Times New Roman"/>
          <w:bCs/>
          <w:sz w:val="24"/>
          <w:szCs w:val="24"/>
        </w:rPr>
        <w:t xml:space="preserve"> </w:t>
      </w:r>
      <w:r w:rsidR="00DB54E9" w:rsidRPr="002C13F3">
        <w:rPr>
          <w:rFonts w:ascii="Century" w:eastAsia="Times New Roman" w:hAnsi="Century" w:cs="Times New Roman"/>
          <w:bCs/>
          <w:sz w:val="24"/>
          <w:szCs w:val="24"/>
        </w:rPr>
        <w:t xml:space="preserve">son muy pocas las CCAA que han optado por aplicar una reducción </w:t>
      </w:r>
      <w:r w:rsidR="009847D5">
        <w:rPr>
          <w:rFonts w:ascii="Century" w:eastAsia="Times New Roman" w:hAnsi="Century" w:cs="Times New Roman"/>
          <w:bCs/>
          <w:sz w:val="24"/>
          <w:szCs w:val="24"/>
        </w:rPr>
        <w:t>por</w:t>
      </w:r>
      <w:r w:rsidR="00DB54E9" w:rsidRPr="002C13F3">
        <w:rPr>
          <w:rFonts w:ascii="Century" w:eastAsia="Times New Roman" w:hAnsi="Century" w:cs="Times New Roman"/>
          <w:bCs/>
          <w:sz w:val="24"/>
          <w:szCs w:val="24"/>
        </w:rPr>
        <w:t xml:space="preserve"> las adquisiciones por causa de muerte que se destinen a la creación de una empresa o negocio profesional y empleo, siempre que se cumplan una serie de requisitos. Así, en Aragón se aplicará una reducción del 30 por ciento, mientras que en Baleares se practicará una reducción por adquisición de dinero o de bienes del 50 por ciento. </w:t>
      </w:r>
      <w:r w:rsidR="00DB54E9" w:rsidRPr="002C13F3">
        <w:rPr>
          <w:rFonts w:ascii="Century" w:hAnsi="Century"/>
          <w:sz w:val="24"/>
          <w:szCs w:val="24"/>
        </w:rPr>
        <w:t xml:space="preserve">En Galicia, para los descendientes de cualquier tipo de bien se </w:t>
      </w:r>
      <w:r w:rsidR="00DA5F71">
        <w:rPr>
          <w:rFonts w:ascii="Century" w:hAnsi="Century"/>
          <w:sz w:val="24"/>
          <w:szCs w:val="24"/>
        </w:rPr>
        <w:t>fija</w:t>
      </w:r>
      <w:r w:rsidR="00DB54E9" w:rsidRPr="002C13F3">
        <w:rPr>
          <w:rFonts w:ascii="Century" w:hAnsi="Century"/>
          <w:sz w:val="24"/>
          <w:szCs w:val="24"/>
        </w:rPr>
        <w:t xml:space="preserve"> una reducción del 95 por ciento, con un límite de 118.750 euros. En caso de que el causahabiente acredite un grado de discapacidad igual o superior al 33 por ciento, el límite será de 237.500 euros. Y en Murcia, se aplicará una reducción por adquisición de dinero o de bie</w:t>
      </w:r>
      <w:r w:rsidR="00FA6304">
        <w:rPr>
          <w:rFonts w:ascii="Century" w:hAnsi="Century"/>
          <w:sz w:val="24"/>
          <w:szCs w:val="24"/>
        </w:rPr>
        <w:t>nes inmuebles del 99 por ciento, siempre que en todos los casos, dichas adquisiciones se destinen a los fines previstos.</w:t>
      </w:r>
    </w:p>
    <w:p w:rsidR="00DB54E9" w:rsidRPr="002C13F3" w:rsidRDefault="00DB54E9" w:rsidP="002D11BC">
      <w:pPr>
        <w:pStyle w:val="NormalWeb"/>
        <w:spacing w:before="0" w:beforeAutospacing="0" w:after="240" w:afterAutospacing="0" w:line="360" w:lineRule="auto"/>
        <w:jc w:val="both"/>
        <w:rPr>
          <w:rFonts w:ascii="Century" w:hAnsi="Century"/>
        </w:rPr>
      </w:pPr>
      <w:r w:rsidRPr="002C13F3">
        <w:rPr>
          <w:rFonts w:ascii="Century" w:hAnsi="Century"/>
        </w:rPr>
        <w:tab/>
        <w:t xml:space="preserve">En </w:t>
      </w:r>
      <w:r w:rsidR="00FA6304">
        <w:rPr>
          <w:rFonts w:ascii="Century" w:hAnsi="Century"/>
        </w:rPr>
        <w:t xml:space="preserve">quinto </w:t>
      </w:r>
      <w:r w:rsidRPr="002C13F3">
        <w:rPr>
          <w:rFonts w:ascii="Century" w:hAnsi="Century"/>
        </w:rPr>
        <w:t xml:space="preserve">lugar, </w:t>
      </w:r>
      <w:r w:rsidR="00FA6304">
        <w:rPr>
          <w:rFonts w:ascii="Century" w:hAnsi="Century"/>
        </w:rPr>
        <w:t xml:space="preserve">cabe destacar que </w:t>
      </w:r>
      <w:r w:rsidRPr="002C13F3">
        <w:rPr>
          <w:rFonts w:ascii="Century" w:hAnsi="Century"/>
        </w:rPr>
        <w:t xml:space="preserve">más de la mitad de las CCAA establecen una reducción para el supuesto de adquisición de una explotación </w:t>
      </w:r>
      <w:r w:rsidRPr="002C13F3">
        <w:rPr>
          <w:rFonts w:ascii="Century" w:hAnsi="Century"/>
        </w:rPr>
        <w:lastRenderedPageBreak/>
        <w:t>agraria ubicada en el territorio de cada Comunidad, siempre que el adquirente tenga la condición de agricultor profesional</w:t>
      </w:r>
      <w:r w:rsidR="00FA6304">
        <w:rPr>
          <w:rFonts w:ascii="Century" w:hAnsi="Century"/>
        </w:rPr>
        <w:t>,</w:t>
      </w:r>
      <w:r w:rsidRPr="002C13F3">
        <w:rPr>
          <w:rFonts w:ascii="Century" w:hAnsi="Century"/>
        </w:rPr>
        <w:t xml:space="preserve"> y mantenga en su patrimonio la explotación agraria durante un período de tiempo siguiente a la fecha del fallecimiento del causante, salvo que falleciese dentro de este plazo. Esta reducción es aplicable al cónyuge, descendientes o adoptados, ascendientes o adoptantes o a los colaterales hasta el tercer grado del causante. En aquellos casos en los que los adquirentes no tengan una relación de parentesco con el transmitente deberán cumplir</w:t>
      </w:r>
      <w:r w:rsidR="00FA6304">
        <w:rPr>
          <w:rFonts w:ascii="Century" w:hAnsi="Century"/>
        </w:rPr>
        <w:t xml:space="preserve"> además</w:t>
      </w:r>
      <w:r w:rsidRPr="002C13F3">
        <w:rPr>
          <w:rFonts w:ascii="Century" w:hAnsi="Century"/>
        </w:rPr>
        <w:t xml:space="preserve"> una serie de requisitos establecidos en cada normativa autonómica</w:t>
      </w:r>
      <w:r w:rsidR="00FA6304">
        <w:rPr>
          <w:rStyle w:val="Refdenotaalpie"/>
          <w:rFonts w:ascii="Century" w:hAnsi="Century"/>
        </w:rPr>
        <w:footnoteReference w:id="54"/>
      </w:r>
      <w:r w:rsidRPr="002C13F3">
        <w:rPr>
          <w:rFonts w:ascii="Century" w:hAnsi="Century"/>
        </w:rPr>
        <w:t>.</w:t>
      </w:r>
    </w:p>
    <w:p w:rsidR="00DB54E9" w:rsidRPr="002C13F3" w:rsidRDefault="00DB54E9" w:rsidP="002D11BC">
      <w:pPr>
        <w:pStyle w:val="NormalWeb"/>
        <w:spacing w:before="0" w:beforeAutospacing="0" w:after="240" w:afterAutospacing="0" w:line="360" w:lineRule="auto"/>
        <w:jc w:val="both"/>
        <w:rPr>
          <w:rFonts w:ascii="Century" w:hAnsi="Century"/>
        </w:rPr>
      </w:pPr>
      <w:r w:rsidRPr="002C13F3">
        <w:rPr>
          <w:rFonts w:ascii="Century" w:hAnsi="Century"/>
        </w:rPr>
        <w:tab/>
        <w:t xml:space="preserve">Extremadura es la única Comunidad Autónoma que </w:t>
      </w:r>
      <w:r w:rsidR="00FA6304">
        <w:rPr>
          <w:rFonts w:ascii="Century" w:hAnsi="Century"/>
        </w:rPr>
        <w:t xml:space="preserve">prevé </w:t>
      </w:r>
      <w:r w:rsidR="000E688B">
        <w:rPr>
          <w:rFonts w:ascii="Century" w:hAnsi="Century"/>
        </w:rPr>
        <w:t>una reducción del 100 por cien</w:t>
      </w:r>
      <w:r w:rsidRPr="002C13F3">
        <w:rPr>
          <w:rFonts w:ascii="Century" w:hAnsi="Century"/>
        </w:rPr>
        <w:t xml:space="preserve"> sobre el valor de la explotación agraria con el límite del valor real de los bienes y derecho</w:t>
      </w:r>
      <w:r w:rsidR="00FA6304">
        <w:rPr>
          <w:rFonts w:ascii="Century" w:hAnsi="Century"/>
        </w:rPr>
        <w:t>s transmitidos. Vizcaya aplica</w:t>
      </w:r>
      <w:r w:rsidRPr="002C13F3">
        <w:rPr>
          <w:rFonts w:ascii="Century" w:hAnsi="Century"/>
        </w:rPr>
        <w:t xml:space="preserve"> u</w:t>
      </w:r>
      <w:r w:rsidR="000E688B">
        <w:rPr>
          <w:rFonts w:ascii="Century" w:hAnsi="Century"/>
        </w:rPr>
        <w:t xml:space="preserve">na reducción del 100 por cien </w:t>
      </w:r>
      <w:r w:rsidRPr="002C13F3">
        <w:rPr>
          <w:rFonts w:ascii="Century" w:hAnsi="Century"/>
        </w:rPr>
        <w:t xml:space="preserve">en caso de continuación de la explotación. Las CCAA que </w:t>
      </w:r>
      <w:r w:rsidR="00FA6304">
        <w:rPr>
          <w:rFonts w:ascii="Century" w:hAnsi="Century"/>
        </w:rPr>
        <w:t>prevén</w:t>
      </w:r>
      <w:r w:rsidRPr="002C13F3">
        <w:rPr>
          <w:rFonts w:ascii="Century" w:hAnsi="Century"/>
        </w:rPr>
        <w:t xml:space="preserve"> una reducción del 99 por ciento s</w:t>
      </w:r>
      <w:r w:rsidR="00FA6304">
        <w:rPr>
          <w:rFonts w:ascii="Century" w:hAnsi="Century"/>
        </w:rPr>
        <w:t>on</w:t>
      </w:r>
      <w:r w:rsidRPr="00514069">
        <w:rPr>
          <w:rFonts w:asciiTheme="minorHAnsi" w:hAnsiTheme="minorHAnsi" w:cstheme="minorHAnsi"/>
        </w:rPr>
        <w:t>:</w:t>
      </w:r>
      <w:r w:rsidRPr="002C13F3">
        <w:rPr>
          <w:rFonts w:ascii="Century" w:hAnsi="Century"/>
        </w:rPr>
        <w:t xml:space="preserve"> Andalucía, Castilla y León, La Rioja y Murcia, sobre el valor de la explotación agraria. Galicia también establece</w:t>
      </w:r>
      <w:r w:rsidR="00FA6304">
        <w:rPr>
          <w:rFonts w:ascii="Century" w:hAnsi="Century"/>
        </w:rPr>
        <w:t xml:space="preserve"> </w:t>
      </w:r>
      <w:r w:rsidRPr="002C13F3">
        <w:rPr>
          <w:rFonts w:ascii="Century" w:hAnsi="Century"/>
        </w:rPr>
        <w:t xml:space="preserve">esta reducción, teniendo en cuenta el valor de la explotación agraria, el valor de elementos de </w:t>
      </w:r>
      <w:r w:rsidR="00FA6304">
        <w:rPr>
          <w:rFonts w:ascii="Century" w:hAnsi="Century"/>
        </w:rPr>
        <w:t>ésta</w:t>
      </w:r>
      <w:r w:rsidRPr="002C13F3">
        <w:rPr>
          <w:rFonts w:ascii="Century" w:hAnsi="Century"/>
        </w:rPr>
        <w:t>, el valor de fincas rústicas</w:t>
      </w:r>
      <w:r w:rsidR="00FA6304">
        <w:rPr>
          <w:rFonts w:ascii="Century" w:hAnsi="Century"/>
        </w:rPr>
        <w:t>,</w:t>
      </w:r>
      <w:r w:rsidRPr="002C13F3">
        <w:rPr>
          <w:rFonts w:ascii="Century" w:hAnsi="Century"/>
        </w:rPr>
        <w:t xml:space="preserve"> o el valor de fincas forestales que formen parte de la superficie de gestión y comercialización conjunta de producciones</w:t>
      </w:r>
      <w:r w:rsidR="00FA6304">
        <w:rPr>
          <w:rFonts w:ascii="Century" w:hAnsi="Century"/>
        </w:rPr>
        <w:t>,</w:t>
      </w:r>
      <w:r w:rsidRPr="002C13F3">
        <w:rPr>
          <w:rFonts w:ascii="Century" w:hAnsi="Century"/>
        </w:rPr>
        <w:t xml:space="preserve"> que realicen agrupaciones de propietarios forestales dotadas de personalidad jurídica. </w:t>
      </w:r>
    </w:p>
    <w:p w:rsidR="00DB54E9" w:rsidRPr="002C13F3" w:rsidRDefault="00DB54E9" w:rsidP="002D11BC">
      <w:pPr>
        <w:pStyle w:val="NormalWeb"/>
        <w:spacing w:before="0" w:beforeAutospacing="0" w:after="240" w:afterAutospacing="0" w:line="360" w:lineRule="auto"/>
        <w:jc w:val="both"/>
        <w:rPr>
          <w:rFonts w:ascii="Century" w:hAnsi="Century"/>
        </w:rPr>
      </w:pPr>
      <w:r w:rsidRPr="002C13F3">
        <w:rPr>
          <w:rFonts w:ascii="Century" w:hAnsi="Century"/>
        </w:rPr>
        <w:tab/>
      </w:r>
      <w:r w:rsidR="00FA6304">
        <w:rPr>
          <w:rFonts w:ascii="Century" w:hAnsi="Century"/>
        </w:rPr>
        <w:t>Las</w:t>
      </w:r>
      <w:r w:rsidRPr="002C13F3">
        <w:rPr>
          <w:rFonts w:ascii="Century" w:hAnsi="Century"/>
        </w:rPr>
        <w:t xml:space="preserve"> CCAA que practicarán un</w:t>
      </w:r>
      <w:r w:rsidR="00FA6304">
        <w:rPr>
          <w:rFonts w:ascii="Century" w:hAnsi="Century"/>
        </w:rPr>
        <w:t>a reducción del 95 por ciento so</w:t>
      </w:r>
      <w:r w:rsidRPr="002C13F3">
        <w:rPr>
          <w:rFonts w:ascii="Century" w:hAnsi="Century"/>
        </w:rPr>
        <w:t>n</w:t>
      </w:r>
      <w:r w:rsidRPr="00514069">
        <w:rPr>
          <w:rFonts w:asciiTheme="minorHAnsi" w:hAnsiTheme="minorHAnsi" w:cstheme="minorHAnsi"/>
        </w:rPr>
        <w:t>:</w:t>
      </w:r>
      <w:r w:rsidRPr="002C13F3">
        <w:rPr>
          <w:rFonts w:ascii="Century" w:hAnsi="Century"/>
        </w:rPr>
        <w:t xml:space="preserve"> Baleares, sobre el valor de determinados bienes y participaciones en áreas de suelo rústico protegido o en áreas de interés agrario</w:t>
      </w:r>
      <w:r w:rsidRPr="00EC29FC">
        <w:rPr>
          <w:rFonts w:asciiTheme="minorHAnsi" w:hAnsiTheme="minorHAnsi" w:cstheme="minorHAnsi"/>
        </w:rPr>
        <w:t>;</w:t>
      </w:r>
      <w:r w:rsidRPr="002C13F3">
        <w:rPr>
          <w:rFonts w:ascii="Century" w:hAnsi="Century"/>
        </w:rPr>
        <w:t xml:space="preserve"> Cataluña, sobre el </w:t>
      </w:r>
      <w:r w:rsidRPr="002C13F3">
        <w:rPr>
          <w:rFonts w:ascii="Century" w:hAnsi="Century"/>
        </w:rPr>
        <w:lastRenderedPageBreak/>
        <w:t>valor de determinadas fincas rústicas de dedicación forestal y sobre el valor de bienes del causante utilizados en la explotación agraria del causante</w:t>
      </w:r>
      <w:r w:rsidRPr="00EC29FC">
        <w:rPr>
          <w:rFonts w:asciiTheme="minorHAnsi" w:hAnsiTheme="minorHAnsi" w:cstheme="minorHAnsi"/>
        </w:rPr>
        <w:t>;</w:t>
      </w:r>
      <w:r w:rsidRPr="002C13F3">
        <w:rPr>
          <w:rFonts w:ascii="Century" w:hAnsi="Century"/>
        </w:rPr>
        <w:t xml:space="preserve"> Galicia, sobre el valor de fincas rústicas incluidas en la Red gallega de espacios protegidos</w:t>
      </w:r>
      <w:r w:rsidRPr="00EC29FC">
        <w:rPr>
          <w:rFonts w:asciiTheme="minorHAnsi" w:hAnsiTheme="minorHAnsi" w:cstheme="minorHAnsi"/>
        </w:rPr>
        <w:t>;</w:t>
      </w:r>
      <w:r w:rsidRPr="002C13F3">
        <w:rPr>
          <w:rFonts w:ascii="Century" w:hAnsi="Century"/>
        </w:rPr>
        <w:t xml:space="preserve"> y</w:t>
      </w:r>
      <w:r w:rsidR="00FA6304">
        <w:rPr>
          <w:rFonts w:ascii="Century" w:hAnsi="Century"/>
        </w:rPr>
        <w:t>,</w:t>
      </w:r>
      <w:r w:rsidRPr="002C13F3">
        <w:rPr>
          <w:rFonts w:ascii="Century" w:hAnsi="Century"/>
        </w:rPr>
        <w:t xml:space="preserve"> Valencia, sobre el valor neto de los elementos patrimoniales afectos a la empresa agrícola transmitida.</w:t>
      </w:r>
    </w:p>
    <w:p w:rsidR="00DB54E9" w:rsidRDefault="00DB54E9" w:rsidP="002D11BC">
      <w:pPr>
        <w:pStyle w:val="NormalWeb"/>
        <w:spacing w:before="0" w:beforeAutospacing="0" w:after="240" w:afterAutospacing="0" w:line="360" w:lineRule="auto"/>
        <w:jc w:val="both"/>
        <w:rPr>
          <w:rFonts w:ascii="Century" w:hAnsi="Century"/>
        </w:rPr>
      </w:pPr>
      <w:r w:rsidRPr="002C13F3">
        <w:rPr>
          <w:rFonts w:ascii="Century" w:hAnsi="Century"/>
        </w:rPr>
        <w:tab/>
      </w:r>
      <w:r w:rsidR="00FA6304">
        <w:rPr>
          <w:rFonts w:ascii="Century" w:hAnsi="Century"/>
        </w:rPr>
        <w:t>Por lo demás</w:t>
      </w:r>
      <w:r w:rsidRPr="002C13F3">
        <w:rPr>
          <w:rFonts w:ascii="Century" w:hAnsi="Century"/>
        </w:rPr>
        <w:t>, e</w:t>
      </w:r>
      <w:r w:rsidRPr="002C13F3">
        <w:rPr>
          <w:rFonts w:ascii="Century" w:hAnsi="Century"/>
          <w:bCs/>
        </w:rPr>
        <w:t>n Vizcaya, se</w:t>
      </w:r>
      <w:r w:rsidR="00FA6304">
        <w:rPr>
          <w:rFonts w:ascii="Century" w:hAnsi="Century"/>
          <w:bCs/>
        </w:rPr>
        <w:t xml:space="preserve"> prevé</w:t>
      </w:r>
      <w:r w:rsidRPr="002C13F3">
        <w:rPr>
          <w:rFonts w:ascii="Century" w:hAnsi="Century"/>
          <w:bCs/>
        </w:rPr>
        <w:t xml:space="preserve"> una reducción del 90 por ciento sobre el valor de</w:t>
      </w:r>
      <w:r w:rsidR="00FA6304">
        <w:rPr>
          <w:rFonts w:ascii="Century" w:hAnsi="Century"/>
          <w:bCs/>
        </w:rPr>
        <w:t>l total de</w:t>
      </w:r>
      <w:r w:rsidRPr="002C13F3">
        <w:rPr>
          <w:rFonts w:ascii="Century" w:hAnsi="Century"/>
          <w:bCs/>
        </w:rPr>
        <w:t xml:space="preserve"> una explotación agraria, </w:t>
      </w:r>
      <w:r w:rsidR="00FA6304">
        <w:rPr>
          <w:rFonts w:ascii="Century" w:hAnsi="Century"/>
          <w:bCs/>
        </w:rPr>
        <w:t>que</w:t>
      </w:r>
      <w:r w:rsidRPr="002C13F3">
        <w:rPr>
          <w:rFonts w:ascii="Century" w:hAnsi="Century"/>
        </w:rPr>
        <w:t xml:space="preserve"> será del 75 por ciento sobre el valor de una finca rústica o de parte de una explotación agraria. Estas reducciones se incrementarán en diez puntos porcentuales, en cada caso, </w:t>
      </w:r>
      <w:r w:rsidR="000E688B">
        <w:rPr>
          <w:rFonts w:ascii="Century" w:hAnsi="Century"/>
        </w:rPr>
        <w:t>con el límite del 100 por cien</w:t>
      </w:r>
      <w:r w:rsidRPr="002C13F3">
        <w:rPr>
          <w:rFonts w:ascii="Century" w:hAnsi="Century"/>
        </w:rPr>
        <w:t xml:space="preserve">, si el adquirente es un agricultor joven o un asalariado agrario.  La reducción será del 50 por ciento por la adquisición de terrenos por los titulares de explotaciones agrarias para completar bajo una sola linde el 50 por ciento, al menos, de la superficie de una explotación cuya renta unitaria de trabajo esté dentro de los límites establecidos en la </w:t>
      </w:r>
      <w:hyperlink r:id="rId10" w:history="1">
        <w:r w:rsidRPr="002C13F3">
          <w:rPr>
            <w:rStyle w:val="Hipervnculo"/>
            <w:rFonts w:ascii="Century" w:eastAsiaTheme="majorEastAsia" w:hAnsi="Century"/>
            <w:color w:val="auto"/>
            <w:u w:val="none"/>
          </w:rPr>
          <w:t>Ley 19/1995, de 5 de julio</w:t>
        </w:r>
      </w:hyperlink>
      <w:r w:rsidRPr="002C13F3">
        <w:rPr>
          <w:rFonts w:ascii="Century" w:hAnsi="Century"/>
        </w:rPr>
        <w:t xml:space="preserve">, de Modernización de las Explotaciones Agrarias. </w:t>
      </w:r>
    </w:p>
    <w:p w:rsidR="00042F0C" w:rsidRDefault="00FA6304" w:rsidP="002D11BC">
      <w:pPr>
        <w:pStyle w:val="NormalWeb"/>
        <w:spacing w:before="0" w:beforeAutospacing="0" w:after="240" w:afterAutospacing="0" w:line="360" w:lineRule="auto"/>
        <w:jc w:val="both"/>
        <w:rPr>
          <w:rFonts w:ascii="Century" w:hAnsi="Century"/>
        </w:rPr>
      </w:pPr>
      <w:r>
        <w:rPr>
          <w:rFonts w:ascii="Century" w:hAnsi="Century"/>
        </w:rPr>
        <w:tab/>
        <w:t>Siguiendo con las reducciones, nos detendremos en sexto lugar en las reducciones relativas a la adquisición de bienes</w:t>
      </w:r>
      <w:r w:rsidR="00DB54E9" w:rsidRPr="002C13F3">
        <w:rPr>
          <w:rFonts w:ascii="Century" w:hAnsi="Century"/>
        </w:rPr>
        <w:t xml:space="preserve"> integrantes del Patrimonio Histórico Español o del Patrimonio Histórico o Cultural de las CCAA, siempre que se cumplan los requisitos establecidos en cada normativa autonómica y se mantengan los bienes adquiridos en el patrimonio del adquirente durante un tiempo a la muerte del causante, salvo que en este plazo fallezca el adquirente. Esta reducción </w:t>
      </w:r>
      <w:r>
        <w:rPr>
          <w:rFonts w:ascii="Century" w:hAnsi="Century"/>
        </w:rPr>
        <w:t>se contempla en</w:t>
      </w:r>
      <w:r w:rsidR="00DB54E9" w:rsidRPr="002C13F3">
        <w:rPr>
          <w:rFonts w:ascii="Century" w:hAnsi="Century"/>
        </w:rPr>
        <w:t xml:space="preserve"> Baleares,</w:t>
      </w:r>
      <w:r>
        <w:rPr>
          <w:rFonts w:ascii="Century" w:hAnsi="Century"/>
        </w:rPr>
        <w:t xml:space="preserve"> que será </w:t>
      </w:r>
      <w:r w:rsidRPr="002C13F3">
        <w:rPr>
          <w:rFonts w:ascii="Century" w:hAnsi="Century"/>
        </w:rPr>
        <w:t xml:space="preserve">del 99 por ciento </w:t>
      </w:r>
      <w:r>
        <w:rPr>
          <w:rFonts w:ascii="Century" w:hAnsi="Century"/>
        </w:rPr>
        <w:t>de los bienes integrantes del Patrimonio Histórico o Cultural de la Comunidad</w:t>
      </w:r>
      <w:r w:rsidR="00DB54E9" w:rsidRPr="002C13F3">
        <w:rPr>
          <w:rFonts w:ascii="Century" w:hAnsi="Century"/>
        </w:rPr>
        <w:t xml:space="preserve">, siendo del 97 por ciento en Canarias, para cónyuges y descendientes o adoptados. </w:t>
      </w:r>
    </w:p>
    <w:p w:rsidR="00042F0C" w:rsidRPr="002C13F3" w:rsidRDefault="00FA6304" w:rsidP="006A5290">
      <w:pPr>
        <w:pStyle w:val="NormalWeb"/>
        <w:spacing w:before="0" w:beforeAutospacing="0" w:after="240" w:afterAutospacing="0" w:line="360" w:lineRule="auto"/>
        <w:ind w:firstLine="708"/>
        <w:jc w:val="both"/>
        <w:rPr>
          <w:rFonts w:ascii="Century" w:hAnsi="Century"/>
        </w:rPr>
      </w:pPr>
      <w:r>
        <w:rPr>
          <w:rFonts w:ascii="Century" w:hAnsi="Century"/>
        </w:rPr>
        <w:t>E</w:t>
      </w:r>
      <w:r w:rsidR="00DB54E9" w:rsidRPr="002C13F3">
        <w:rPr>
          <w:rFonts w:ascii="Century" w:hAnsi="Century"/>
        </w:rPr>
        <w:t xml:space="preserve">n Baleares, Cantabria, Madrid y el propio Estado </w:t>
      </w:r>
      <w:r>
        <w:rPr>
          <w:rFonts w:ascii="Century" w:hAnsi="Century"/>
        </w:rPr>
        <w:t>se prevé</w:t>
      </w:r>
      <w:r w:rsidR="00DB54E9" w:rsidRPr="002C13F3">
        <w:rPr>
          <w:rFonts w:ascii="Century" w:hAnsi="Century"/>
        </w:rPr>
        <w:t xml:space="preserve"> una reducción por adquisición de bienes integrantes del Patrimonio Histórico Español o del Patrimonio Histórico o Cultural de otras CCAA</w:t>
      </w:r>
      <w:r>
        <w:rPr>
          <w:rFonts w:ascii="Century" w:hAnsi="Century"/>
        </w:rPr>
        <w:t>,</w:t>
      </w:r>
      <w:r w:rsidR="00DB54E9" w:rsidRPr="002C13F3">
        <w:rPr>
          <w:rFonts w:ascii="Century" w:hAnsi="Century"/>
        </w:rPr>
        <w:t xml:space="preserve"> del 95 por ciento de su valor, para cónyu</w:t>
      </w:r>
      <w:r w:rsidR="00042F0C">
        <w:rPr>
          <w:rFonts w:ascii="Century" w:hAnsi="Century"/>
        </w:rPr>
        <w:t xml:space="preserve">ges y descendientes o adoptados. </w:t>
      </w:r>
      <w:r w:rsidR="00042F0C" w:rsidRPr="002C13F3">
        <w:rPr>
          <w:rFonts w:ascii="Century" w:hAnsi="Century"/>
        </w:rPr>
        <w:t xml:space="preserve">En Navarra, </w:t>
      </w:r>
      <w:r w:rsidR="00042F0C">
        <w:rPr>
          <w:rFonts w:ascii="Century" w:hAnsi="Century"/>
        </w:rPr>
        <w:t xml:space="preserve">también </w:t>
      </w:r>
      <w:r w:rsidR="00042F0C" w:rsidRPr="002C13F3">
        <w:rPr>
          <w:rFonts w:ascii="Century" w:hAnsi="Century"/>
        </w:rPr>
        <w:t>se disfrutará de una reducción del 95 por ciento</w:t>
      </w:r>
      <w:r>
        <w:rPr>
          <w:rFonts w:ascii="Century" w:hAnsi="Century"/>
        </w:rPr>
        <w:t>,</w:t>
      </w:r>
      <w:r w:rsidR="00042F0C" w:rsidRPr="002C13F3">
        <w:rPr>
          <w:rFonts w:ascii="Century" w:hAnsi="Century"/>
        </w:rPr>
        <w:t xml:space="preserve"> para las </w:t>
      </w:r>
      <w:r w:rsidR="00042F0C" w:rsidRPr="002C13F3">
        <w:rPr>
          <w:rFonts w:ascii="Century" w:hAnsi="Century"/>
        </w:rPr>
        <w:lastRenderedPageBreak/>
        <w:t xml:space="preserve">adquisiciones </w:t>
      </w:r>
      <w:r w:rsidR="00042F0C" w:rsidRPr="002C13F3">
        <w:rPr>
          <w:rFonts w:ascii="Century" w:hAnsi="Century"/>
          <w:i/>
        </w:rPr>
        <w:t>mortis causa</w:t>
      </w:r>
      <w:r w:rsidR="00042F0C" w:rsidRPr="002C13F3">
        <w:rPr>
          <w:rFonts w:ascii="Century" w:hAnsi="Century"/>
        </w:rPr>
        <w:t xml:space="preserve"> de terrenos declarados como espacios naturales protegidos o propuestos como lugares de Interés Comunitario de la Red ecológica europea Natura 2000.</w:t>
      </w:r>
      <w:r w:rsidR="00042F0C" w:rsidRPr="002C13F3">
        <w:rPr>
          <w:rFonts w:ascii="Century" w:hAnsi="Century"/>
        </w:rPr>
        <w:tab/>
      </w:r>
    </w:p>
    <w:p w:rsidR="00DB54E9" w:rsidRPr="002C13F3" w:rsidRDefault="00DB54E9" w:rsidP="002D11BC">
      <w:pPr>
        <w:pStyle w:val="NormalWeb"/>
        <w:spacing w:before="0" w:beforeAutospacing="0" w:after="240" w:afterAutospacing="0" w:line="360" w:lineRule="auto"/>
        <w:jc w:val="both"/>
        <w:rPr>
          <w:rFonts w:ascii="Century" w:hAnsi="Century" w:cs="Arial"/>
        </w:rPr>
      </w:pPr>
      <w:r w:rsidRPr="002C13F3">
        <w:rPr>
          <w:rFonts w:ascii="Century" w:hAnsi="Century"/>
        </w:rPr>
        <w:tab/>
      </w:r>
      <w:r w:rsidRPr="002C13F3">
        <w:rPr>
          <w:rFonts w:ascii="Century" w:hAnsi="Century" w:cs="Arial"/>
        </w:rPr>
        <w:t>En Castilla y León, se aplicará una reducción del 99 por ciento del valor de los bienes,</w:t>
      </w:r>
      <w:r w:rsidR="00FA6304">
        <w:rPr>
          <w:rFonts w:ascii="Century" w:hAnsi="Century" w:cs="Arial"/>
        </w:rPr>
        <w:t xml:space="preserve"> pero</w:t>
      </w:r>
      <w:r w:rsidRPr="002C13F3">
        <w:rPr>
          <w:rFonts w:ascii="Century" w:hAnsi="Century" w:cs="Arial"/>
        </w:rPr>
        <w:t xml:space="preserve"> siempre que estos bienes se cedan a favor de la Administración de la Comunidad de Castilla y León, Corporaciones Locales de la Comunidad, museos de titularidad pública de la Comunidad de Castilla y León u otras instituciones culturales dependientes de los entes públicos territoriales de la Comunidad de Castilla y León. </w:t>
      </w:r>
    </w:p>
    <w:p w:rsidR="00DB54E9" w:rsidRPr="002C13F3" w:rsidRDefault="00DB54E9" w:rsidP="002D11BC">
      <w:pPr>
        <w:pStyle w:val="NormalWeb"/>
        <w:spacing w:before="0" w:beforeAutospacing="0" w:after="240" w:afterAutospacing="0" w:line="360" w:lineRule="auto"/>
        <w:jc w:val="both"/>
        <w:rPr>
          <w:rFonts w:ascii="Century" w:hAnsi="Century"/>
        </w:rPr>
      </w:pPr>
      <w:r w:rsidRPr="002C13F3">
        <w:rPr>
          <w:rFonts w:ascii="Century" w:hAnsi="Century" w:cs="Arial"/>
        </w:rPr>
        <w:tab/>
      </w:r>
      <w:r w:rsidRPr="002C13F3">
        <w:rPr>
          <w:rFonts w:ascii="Century" w:hAnsi="Century"/>
        </w:rPr>
        <w:t xml:space="preserve">En Cataluña, </w:t>
      </w:r>
      <w:r w:rsidR="00FA6304">
        <w:rPr>
          <w:rFonts w:ascii="Century" w:hAnsi="Century"/>
        </w:rPr>
        <w:t>la</w:t>
      </w:r>
      <w:r w:rsidRPr="002C13F3">
        <w:rPr>
          <w:rFonts w:ascii="Century" w:hAnsi="Century"/>
        </w:rPr>
        <w:t xml:space="preserve"> reducción </w:t>
      </w:r>
      <w:r w:rsidR="00FA6304">
        <w:rPr>
          <w:rFonts w:ascii="Century" w:hAnsi="Century"/>
        </w:rPr>
        <w:t xml:space="preserve">será </w:t>
      </w:r>
      <w:r w:rsidRPr="002C13F3">
        <w:rPr>
          <w:rFonts w:ascii="Century" w:hAnsi="Century"/>
        </w:rPr>
        <w:t xml:space="preserve">del 95 por ciento del valor de los bienes culturales de interés nacional y de los bienes muebles del Patrimonio Cultural Catalán, de los bienes integrantes del Patrimonio Histórico o Cultural de otras CCAA, de los bienes a que se refieren los apartados 1 y 3 del </w:t>
      </w:r>
      <w:hyperlink r:id="rId11" w:anchor="I92" w:history="1">
        <w:r w:rsidRPr="002C13F3">
          <w:rPr>
            <w:rStyle w:val="Hipervnculo"/>
            <w:rFonts w:ascii="Century" w:hAnsi="Century"/>
            <w:color w:val="auto"/>
            <w:u w:val="none"/>
          </w:rPr>
          <w:t>artículo 4 de la Ley del Estado 19/1991, de 6 de junio</w:t>
        </w:r>
      </w:hyperlink>
      <w:r w:rsidRPr="002C13F3">
        <w:rPr>
          <w:rFonts w:ascii="Century" w:hAnsi="Century"/>
        </w:rPr>
        <w:t>, del impuesto sobre el patrimonio, y de la obra propia de los artistas a que se refiere el artículo 4.3.b de la citada Ley del Estado 19/1991, si el causante es el mismo artista, para el cónyuge, descendientes o adoptados, ascendientes o adoptantes o a los colaterales has</w:t>
      </w:r>
      <w:r w:rsidR="00FA6304">
        <w:rPr>
          <w:rFonts w:ascii="Century" w:hAnsi="Century"/>
        </w:rPr>
        <w:t>ta el tercer grado del causante</w:t>
      </w:r>
      <w:r w:rsidRPr="002C13F3">
        <w:rPr>
          <w:rFonts w:ascii="Century" w:hAnsi="Century"/>
        </w:rPr>
        <w:t>.</w:t>
      </w:r>
    </w:p>
    <w:p w:rsidR="00DB54E9" w:rsidRPr="009643C0" w:rsidRDefault="00DB54E9" w:rsidP="002D11BC">
      <w:pPr>
        <w:pStyle w:val="NormalWeb"/>
        <w:spacing w:before="0" w:beforeAutospacing="0" w:after="240" w:afterAutospacing="0" w:line="360" w:lineRule="auto"/>
        <w:jc w:val="both"/>
        <w:rPr>
          <w:rFonts w:ascii="Century" w:hAnsi="Century"/>
        </w:rPr>
      </w:pPr>
      <w:r w:rsidRPr="002C13F3">
        <w:rPr>
          <w:rFonts w:ascii="Century" w:hAnsi="Century"/>
        </w:rPr>
        <w:tab/>
        <w:t xml:space="preserve">En Murcia, </w:t>
      </w:r>
      <w:r w:rsidR="00FC6819">
        <w:rPr>
          <w:rFonts w:ascii="Century" w:hAnsi="Century"/>
        </w:rPr>
        <w:t xml:space="preserve">por su parte, se prevé </w:t>
      </w:r>
      <w:r w:rsidRPr="002C13F3">
        <w:rPr>
          <w:rFonts w:ascii="Century" w:hAnsi="Century"/>
        </w:rPr>
        <w:t>una reducción por adquisición de bienes del Patrimonio Cultural de la Comunidad Autónoma de la Región de Murcia o de bienes muebles de interés cultural</w:t>
      </w:r>
      <w:r w:rsidR="006A5290">
        <w:rPr>
          <w:rFonts w:ascii="Century" w:hAnsi="Century"/>
        </w:rPr>
        <w:t>,</w:t>
      </w:r>
      <w:r w:rsidRPr="002C13F3">
        <w:rPr>
          <w:rFonts w:ascii="Century" w:hAnsi="Century"/>
        </w:rPr>
        <w:t xml:space="preserve"> o catalogados para su cesión temporal a esta Comunidad del 99 por ciento de su valor, para cónyuge, </w:t>
      </w:r>
      <w:r w:rsidRPr="009643C0">
        <w:rPr>
          <w:rFonts w:ascii="Century" w:hAnsi="Century"/>
        </w:rPr>
        <w:t>descendientes adoptados y ascendientes o adoptantes.</w:t>
      </w:r>
    </w:p>
    <w:p w:rsidR="00DB54E9" w:rsidRDefault="00DB54E9" w:rsidP="002D11BC">
      <w:pPr>
        <w:pStyle w:val="NormalWeb"/>
        <w:spacing w:before="0" w:beforeAutospacing="0" w:after="240" w:afterAutospacing="0" w:line="360" w:lineRule="auto"/>
        <w:jc w:val="both"/>
        <w:rPr>
          <w:rFonts w:ascii="Century" w:hAnsi="Century"/>
        </w:rPr>
      </w:pPr>
      <w:r w:rsidRPr="009643C0">
        <w:rPr>
          <w:rFonts w:ascii="Century" w:hAnsi="Century"/>
        </w:rPr>
        <w:tab/>
      </w:r>
      <w:r w:rsidR="00FC6819" w:rsidRPr="009643C0">
        <w:rPr>
          <w:rFonts w:ascii="Century" w:hAnsi="Century"/>
        </w:rPr>
        <w:t>Finalmente e</w:t>
      </w:r>
      <w:r w:rsidRPr="009643C0">
        <w:rPr>
          <w:rFonts w:ascii="Century" w:hAnsi="Century"/>
        </w:rPr>
        <w:t xml:space="preserve">n Valencia, </w:t>
      </w:r>
      <w:r w:rsidR="009643C0" w:rsidRPr="009643C0">
        <w:rPr>
          <w:rFonts w:ascii="Century" w:hAnsi="Century"/>
        </w:rPr>
        <w:t xml:space="preserve">en </w:t>
      </w:r>
      <w:r w:rsidRPr="009643C0">
        <w:rPr>
          <w:rFonts w:ascii="Century" w:hAnsi="Century"/>
        </w:rPr>
        <w:t>los supuestos de transmisiones de bienes del patrimonio cultural valenciano</w:t>
      </w:r>
      <w:r w:rsidR="00FC6819" w:rsidRPr="009643C0">
        <w:rPr>
          <w:rFonts w:ascii="Century" w:hAnsi="Century"/>
        </w:rPr>
        <w:t xml:space="preserve"> </w:t>
      </w:r>
      <w:r w:rsidR="009643C0" w:rsidRPr="009643C0">
        <w:rPr>
          <w:rFonts w:ascii="Century" w:hAnsi="Century"/>
        </w:rPr>
        <w:t>gozarán de una reducción aquellos inscritos en el Registro General de Bienes de Interés Cultural o en el Inventario General del Patrimonio Cultural Valenciano</w:t>
      </w:r>
      <w:r w:rsidRPr="009643C0">
        <w:rPr>
          <w:rFonts w:ascii="Century" w:hAnsi="Century"/>
        </w:rPr>
        <w:t>, en función del periodo de cesión del bien, del siguiente porcentaje del valor del mismo</w:t>
      </w:r>
      <w:r w:rsidRPr="00E76DF8">
        <w:rPr>
          <w:rFonts w:asciiTheme="minorHAnsi" w:hAnsiTheme="minorHAnsi" w:cstheme="minorHAnsi"/>
        </w:rPr>
        <w:t>:</w:t>
      </w:r>
      <w:r w:rsidRPr="009643C0">
        <w:rPr>
          <w:rFonts w:ascii="Century" w:hAnsi="Century"/>
        </w:rPr>
        <w:t xml:space="preserve"> del 95 por ciento, para cesiones de más de 20 años</w:t>
      </w:r>
      <w:r w:rsidRPr="00D41590">
        <w:rPr>
          <w:rFonts w:asciiTheme="minorHAnsi" w:hAnsiTheme="minorHAnsi" w:cstheme="minorHAnsi"/>
        </w:rPr>
        <w:t>;</w:t>
      </w:r>
      <w:r w:rsidRPr="009643C0">
        <w:rPr>
          <w:rFonts w:ascii="Century" w:hAnsi="Century"/>
        </w:rPr>
        <w:t xml:space="preserve"> del 75 por ciento</w:t>
      </w:r>
      <w:r w:rsidRPr="002C13F3">
        <w:rPr>
          <w:rFonts w:ascii="Century" w:hAnsi="Century"/>
        </w:rPr>
        <w:t>, para cesiones de más de 10 años</w:t>
      </w:r>
      <w:r w:rsidRPr="00EC29FC">
        <w:rPr>
          <w:rFonts w:asciiTheme="minorHAnsi" w:hAnsiTheme="minorHAnsi" w:cstheme="minorHAnsi"/>
        </w:rPr>
        <w:t>;</w:t>
      </w:r>
      <w:r w:rsidRPr="002C13F3">
        <w:rPr>
          <w:rFonts w:ascii="Century" w:hAnsi="Century"/>
        </w:rPr>
        <w:t xml:space="preserve"> y del 50 por ciento, para cesiones de más de 5 </w:t>
      </w:r>
      <w:r w:rsidRPr="002C13F3">
        <w:rPr>
          <w:rFonts w:ascii="Century" w:hAnsi="Century"/>
        </w:rPr>
        <w:lastRenderedPageBreak/>
        <w:t>años, siempre que la cesión se efectúe a favor de la Generalitat y las entidades locales de la Comunidad Valenciana</w:t>
      </w:r>
      <w:r w:rsidRPr="00EC29FC">
        <w:rPr>
          <w:rFonts w:asciiTheme="minorHAnsi" w:hAnsiTheme="minorHAnsi" w:cstheme="minorHAnsi"/>
        </w:rPr>
        <w:t>;</w:t>
      </w:r>
      <w:r w:rsidRPr="002C13F3">
        <w:rPr>
          <w:rFonts w:ascii="Century" w:hAnsi="Century"/>
        </w:rPr>
        <w:t xml:space="preserve"> los entes del sector público de la Generalitat y de las entidades locales</w:t>
      </w:r>
      <w:r w:rsidRPr="00EC29FC">
        <w:rPr>
          <w:rFonts w:asciiTheme="minorHAnsi" w:hAnsiTheme="minorHAnsi" w:cstheme="minorHAnsi"/>
        </w:rPr>
        <w:t>;</w:t>
      </w:r>
      <w:r w:rsidRPr="002C13F3">
        <w:rPr>
          <w:rFonts w:ascii="Century" w:hAnsi="Century"/>
        </w:rPr>
        <w:t xml:space="preserve"> las universidades públicas, los centros superiores de enseñanzas artísticas públicos y los centros de investigación de la Comunidad Valenciana, y las entidades sin fines lucrativos reguladas en los apartados a y b del </w:t>
      </w:r>
      <w:hyperlink r:id="rId12" w:anchor="I54" w:history="1">
        <w:r w:rsidRPr="002C13F3">
          <w:rPr>
            <w:rStyle w:val="Hipervnculo"/>
            <w:rFonts w:ascii="Century" w:eastAsiaTheme="majorEastAsia" w:hAnsi="Century"/>
            <w:color w:val="auto"/>
            <w:u w:val="none"/>
          </w:rPr>
          <w:t>artículo 2 de la Ley 49/2002, de 23 de diciembre</w:t>
        </w:r>
      </w:hyperlink>
      <w:r w:rsidRPr="002C13F3">
        <w:rPr>
          <w:rFonts w:ascii="Century" w:hAnsi="Century"/>
        </w:rPr>
        <w:t>, de Régimen Fiscal de las Entidades sin Fines Lucrativos y de los Incentivos Fiscales al Mecenazgo, siempre que persigan fines de naturaleza exclusivamente cultural.</w:t>
      </w:r>
    </w:p>
    <w:p w:rsidR="00EB0526" w:rsidRDefault="00FC6819" w:rsidP="002D11BC">
      <w:pPr>
        <w:pStyle w:val="NormalWeb"/>
        <w:spacing w:before="0" w:beforeAutospacing="0" w:after="240" w:afterAutospacing="0" w:line="360" w:lineRule="auto"/>
        <w:jc w:val="both"/>
        <w:rPr>
          <w:rFonts w:ascii="Century" w:hAnsi="Century"/>
          <w:color w:val="000000"/>
        </w:rPr>
      </w:pPr>
      <w:r>
        <w:rPr>
          <w:rFonts w:ascii="Century" w:hAnsi="Century"/>
        </w:rPr>
        <w:tab/>
        <w:t>Para finalizar las reducciones cabe detenernos por último en otro tipo de reducciones previstas en menor grado por distintas CCAA</w:t>
      </w:r>
      <w:r w:rsidR="00D54E3E" w:rsidRPr="002C13F3">
        <w:rPr>
          <w:rFonts w:ascii="Century" w:hAnsi="Century"/>
        </w:rPr>
        <w:t>.</w:t>
      </w:r>
      <w:r>
        <w:rPr>
          <w:rFonts w:ascii="Century" w:hAnsi="Century"/>
        </w:rPr>
        <w:t xml:space="preserve"> Así</w:t>
      </w:r>
      <w:r w:rsidR="00D54E3E" w:rsidRPr="002C13F3">
        <w:rPr>
          <w:rFonts w:ascii="Century" w:hAnsi="Century"/>
        </w:rPr>
        <w:t>, se establece una reducción por transmisión consecutiva de bienes, también denominada por sobreimposición decenal, únicamente en Baleares, Canarias, Cantabria y Cataluña</w:t>
      </w:r>
      <w:r>
        <w:rPr>
          <w:rStyle w:val="Refdenotaalpie"/>
          <w:rFonts w:ascii="Century" w:hAnsi="Century"/>
        </w:rPr>
        <w:footnoteReference w:id="55"/>
      </w:r>
      <w:r w:rsidR="00D54E3E" w:rsidRPr="002C13F3">
        <w:rPr>
          <w:rFonts w:ascii="Century" w:hAnsi="Century"/>
        </w:rPr>
        <w:t xml:space="preserve">. </w:t>
      </w:r>
      <w:r w:rsidR="00D54E3E" w:rsidRPr="002C13F3">
        <w:rPr>
          <w:rFonts w:ascii="Century" w:hAnsi="Century"/>
          <w:color w:val="000000"/>
        </w:rPr>
        <w:t xml:space="preserve">También se establece una reducción por </w:t>
      </w:r>
      <w:r>
        <w:rPr>
          <w:rFonts w:ascii="Century" w:hAnsi="Century"/>
          <w:color w:val="000000"/>
        </w:rPr>
        <w:t xml:space="preserve">indemnizaciones derivadas de actos </w:t>
      </w:r>
      <w:r w:rsidR="00D54E3E" w:rsidRPr="002C13F3">
        <w:rPr>
          <w:rFonts w:ascii="Century" w:hAnsi="Century"/>
          <w:color w:val="000000"/>
        </w:rPr>
        <w:t>de terrorismo</w:t>
      </w:r>
      <w:r w:rsidR="002E622F" w:rsidRPr="002C13F3">
        <w:rPr>
          <w:rFonts w:ascii="Century" w:hAnsi="Century"/>
          <w:color w:val="000000"/>
        </w:rPr>
        <w:t xml:space="preserve"> percibidas por los beneficiarios</w:t>
      </w:r>
      <w:r>
        <w:rPr>
          <w:rFonts w:ascii="Century" w:hAnsi="Century"/>
          <w:color w:val="000000"/>
        </w:rPr>
        <w:t>,</w:t>
      </w:r>
      <w:r w:rsidR="00D54E3E" w:rsidRPr="002C13F3">
        <w:rPr>
          <w:rFonts w:ascii="Century" w:hAnsi="Century"/>
          <w:color w:val="000000"/>
        </w:rPr>
        <w:t xml:space="preserve"> del 99 por ciento en Galicia y Madrid. Y otra reducción por indemnizaciones satisfechas por las Administraciones Públicas a los herederos</w:t>
      </w:r>
      <w:r w:rsidR="002971C3" w:rsidRPr="002C13F3">
        <w:rPr>
          <w:rFonts w:ascii="Century" w:hAnsi="Century"/>
          <w:color w:val="000000"/>
        </w:rPr>
        <w:t xml:space="preserve"> de los</w:t>
      </w:r>
      <w:r w:rsidR="00D54E3E" w:rsidRPr="002C13F3">
        <w:rPr>
          <w:rFonts w:ascii="Century" w:hAnsi="Century"/>
          <w:color w:val="000000"/>
        </w:rPr>
        <w:t xml:space="preserve"> afectados por el Síndrome Tóxico</w:t>
      </w:r>
      <w:r>
        <w:rPr>
          <w:rFonts w:ascii="Century" w:hAnsi="Century"/>
          <w:color w:val="000000"/>
        </w:rPr>
        <w:t>,</w:t>
      </w:r>
      <w:r w:rsidR="00D54E3E" w:rsidRPr="002C13F3">
        <w:rPr>
          <w:rFonts w:ascii="Century" w:hAnsi="Century"/>
          <w:color w:val="000000"/>
        </w:rPr>
        <w:t xml:space="preserve"> del 99 por ciento sobre los importes percibidos en Castilla y León, Galicia y Madrid</w:t>
      </w:r>
      <w:r w:rsidR="00EB0526" w:rsidRPr="002C13F3">
        <w:rPr>
          <w:rFonts w:ascii="Century" w:hAnsi="Century"/>
          <w:color w:val="000000"/>
        </w:rPr>
        <w:t>.</w:t>
      </w:r>
    </w:p>
    <w:p w:rsidR="00FC6819" w:rsidRPr="00FC6819" w:rsidRDefault="00FC6819" w:rsidP="002D11BC">
      <w:pPr>
        <w:pStyle w:val="NormalWeb"/>
        <w:spacing w:before="0" w:beforeAutospacing="0" w:after="240" w:afterAutospacing="0" w:line="360" w:lineRule="auto"/>
        <w:jc w:val="both"/>
        <w:rPr>
          <w:rFonts w:ascii="Century" w:hAnsi="Century"/>
          <w:b/>
          <w:color w:val="FF0000"/>
        </w:rPr>
      </w:pPr>
      <w:r>
        <w:rPr>
          <w:rFonts w:ascii="Century" w:hAnsi="Century"/>
          <w:color w:val="000000"/>
        </w:rPr>
        <w:tab/>
      </w:r>
      <w:r w:rsidRPr="00FC6819">
        <w:rPr>
          <w:rFonts w:ascii="Century" w:hAnsi="Century"/>
          <w:b/>
          <w:color w:val="000000"/>
        </w:rPr>
        <w:t>B - Escalas de gravamen</w:t>
      </w:r>
    </w:p>
    <w:p w:rsidR="00F76CD3" w:rsidRPr="002C13F3" w:rsidRDefault="00F76CD3" w:rsidP="006A5290">
      <w:pPr>
        <w:spacing w:after="240" w:line="360" w:lineRule="auto"/>
        <w:ind w:firstLine="708"/>
        <w:jc w:val="both"/>
        <w:rPr>
          <w:rFonts w:ascii="Century" w:hAnsi="Century"/>
          <w:sz w:val="24"/>
          <w:szCs w:val="24"/>
        </w:rPr>
      </w:pPr>
      <w:r w:rsidRPr="002C13F3">
        <w:rPr>
          <w:rFonts w:ascii="Century" w:hAnsi="Century"/>
          <w:sz w:val="24"/>
          <w:szCs w:val="24"/>
        </w:rPr>
        <w:t>Establecida</w:t>
      </w:r>
      <w:r w:rsidR="00FC6819">
        <w:rPr>
          <w:rFonts w:ascii="Century" w:hAnsi="Century"/>
          <w:sz w:val="24"/>
          <w:szCs w:val="24"/>
        </w:rPr>
        <w:t>s</w:t>
      </w:r>
      <w:r w:rsidRPr="002C13F3">
        <w:rPr>
          <w:rFonts w:ascii="Century" w:hAnsi="Century"/>
          <w:sz w:val="24"/>
          <w:szCs w:val="24"/>
        </w:rPr>
        <w:t xml:space="preserve"> la</w:t>
      </w:r>
      <w:r w:rsidR="00FC6819">
        <w:rPr>
          <w:rFonts w:ascii="Century" w:hAnsi="Century"/>
          <w:sz w:val="24"/>
          <w:szCs w:val="24"/>
        </w:rPr>
        <w:t>s</w:t>
      </w:r>
      <w:r w:rsidRPr="002C13F3">
        <w:rPr>
          <w:rFonts w:ascii="Century" w:hAnsi="Century"/>
          <w:sz w:val="24"/>
          <w:szCs w:val="24"/>
        </w:rPr>
        <w:t xml:space="preserve"> base</w:t>
      </w:r>
      <w:r w:rsidR="00FC6819">
        <w:rPr>
          <w:rFonts w:ascii="Century" w:hAnsi="Century"/>
          <w:sz w:val="24"/>
          <w:szCs w:val="24"/>
        </w:rPr>
        <w:t>s</w:t>
      </w:r>
      <w:r w:rsidRPr="002C13F3">
        <w:rPr>
          <w:rFonts w:ascii="Century" w:hAnsi="Century"/>
          <w:sz w:val="24"/>
          <w:szCs w:val="24"/>
        </w:rPr>
        <w:t xml:space="preserve"> liquidable</w:t>
      </w:r>
      <w:r w:rsidR="00FC6819">
        <w:rPr>
          <w:rFonts w:ascii="Century" w:hAnsi="Century"/>
          <w:sz w:val="24"/>
          <w:szCs w:val="24"/>
        </w:rPr>
        <w:t>s del impuesto</w:t>
      </w:r>
      <w:r w:rsidRPr="002C13F3">
        <w:rPr>
          <w:rFonts w:ascii="Century" w:hAnsi="Century"/>
          <w:sz w:val="24"/>
          <w:szCs w:val="24"/>
        </w:rPr>
        <w:t>, se aplicará</w:t>
      </w:r>
      <w:r w:rsidR="00E76DF8">
        <w:rPr>
          <w:rFonts w:ascii="Century" w:hAnsi="Century"/>
          <w:sz w:val="24"/>
          <w:szCs w:val="24"/>
        </w:rPr>
        <w:t>n</w:t>
      </w:r>
      <w:r w:rsidRPr="002C13F3">
        <w:rPr>
          <w:rFonts w:ascii="Century" w:hAnsi="Century"/>
          <w:sz w:val="24"/>
          <w:szCs w:val="24"/>
        </w:rPr>
        <w:t xml:space="preserve"> sobre</w:t>
      </w:r>
      <w:r w:rsidR="00FC6819">
        <w:rPr>
          <w:rFonts w:ascii="Century" w:hAnsi="Century"/>
          <w:sz w:val="24"/>
          <w:szCs w:val="24"/>
        </w:rPr>
        <w:t xml:space="preserve"> ellas</w:t>
      </w:r>
      <w:r w:rsidRPr="002C13F3">
        <w:rPr>
          <w:rFonts w:ascii="Century" w:hAnsi="Century"/>
          <w:sz w:val="24"/>
          <w:szCs w:val="24"/>
        </w:rPr>
        <w:t xml:space="preserve"> la</w:t>
      </w:r>
      <w:r w:rsidR="00FC6819">
        <w:rPr>
          <w:rFonts w:ascii="Century" w:hAnsi="Century"/>
          <w:sz w:val="24"/>
          <w:szCs w:val="24"/>
        </w:rPr>
        <w:t>s</w:t>
      </w:r>
      <w:r w:rsidRPr="002C13F3">
        <w:rPr>
          <w:rFonts w:ascii="Century" w:hAnsi="Century"/>
          <w:sz w:val="24"/>
          <w:szCs w:val="24"/>
        </w:rPr>
        <w:t xml:space="preserve"> escala</w:t>
      </w:r>
      <w:r w:rsidR="00FC6819">
        <w:rPr>
          <w:rFonts w:ascii="Century" w:hAnsi="Century"/>
          <w:sz w:val="24"/>
          <w:szCs w:val="24"/>
        </w:rPr>
        <w:t>s</w:t>
      </w:r>
      <w:r w:rsidRPr="002C13F3">
        <w:rPr>
          <w:rFonts w:ascii="Century" w:hAnsi="Century"/>
          <w:sz w:val="24"/>
          <w:szCs w:val="24"/>
        </w:rPr>
        <w:t xml:space="preserve"> de gravamen que haya</w:t>
      </w:r>
      <w:r w:rsidR="00FC6819">
        <w:rPr>
          <w:rFonts w:ascii="Century" w:hAnsi="Century"/>
          <w:sz w:val="24"/>
          <w:szCs w:val="24"/>
        </w:rPr>
        <w:t>n</w:t>
      </w:r>
      <w:r w:rsidRPr="002C13F3">
        <w:rPr>
          <w:rFonts w:ascii="Century" w:hAnsi="Century"/>
          <w:sz w:val="24"/>
          <w:szCs w:val="24"/>
        </w:rPr>
        <w:t xml:space="preserve"> sido aprobada</w:t>
      </w:r>
      <w:r w:rsidR="00FC6819">
        <w:rPr>
          <w:rFonts w:ascii="Century" w:hAnsi="Century"/>
          <w:sz w:val="24"/>
          <w:szCs w:val="24"/>
        </w:rPr>
        <w:t>s</w:t>
      </w:r>
      <w:r w:rsidRPr="002C13F3">
        <w:rPr>
          <w:rFonts w:ascii="Century" w:hAnsi="Century"/>
          <w:sz w:val="24"/>
          <w:szCs w:val="24"/>
        </w:rPr>
        <w:t xml:space="preserve"> por la</w:t>
      </w:r>
      <w:r w:rsidR="00FC6819">
        <w:rPr>
          <w:rFonts w:ascii="Century" w:hAnsi="Century"/>
          <w:sz w:val="24"/>
          <w:szCs w:val="24"/>
        </w:rPr>
        <w:t>s respectivas CCAA</w:t>
      </w:r>
      <w:r w:rsidR="00E76DF8">
        <w:rPr>
          <w:rFonts w:ascii="Century" w:hAnsi="Century"/>
          <w:sz w:val="24"/>
          <w:szCs w:val="24"/>
        </w:rPr>
        <w:t xml:space="preserve"> o por el Estado</w:t>
      </w:r>
      <w:r w:rsidRPr="002C13F3">
        <w:rPr>
          <w:rFonts w:ascii="Century" w:hAnsi="Century"/>
          <w:sz w:val="24"/>
          <w:szCs w:val="24"/>
        </w:rPr>
        <w:t>, conforme a lo establecido en la Ley de Cesión, obteniéndose así la cuota íntegra del impuesto</w:t>
      </w:r>
      <w:r w:rsidR="00E76DF8">
        <w:rPr>
          <w:rFonts w:ascii="Century" w:hAnsi="Century"/>
          <w:sz w:val="24"/>
          <w:szCs w:val="24"/>
        </w:rPr>
        <w:t>, como hemos visto anteriormente</w:t>
      </w:r>
      <w:r w:rsidR="00DE2122" w:rsidRPr="002C13F3">
        <w:rPr>
          <w:rFonts w:ascii="Century" w:hAnsi="Century"/>
          <w:sz w:val="24"/>
          <w:szCs w:val="24"/>
        </w:rPr>
        <w:t>. En este sentido, las CCAA que no establecen una escala propia en sus normativas fiscales autonómicas son</w:t>
      </w:r>
      <w:r w:rsidR="00FC6819">
        <w:rPr>
          <w:rFonts w:cstheme="minorHAnsi"/>
          <w:sz w:val="24"/>
          <w:szCs w:val="24"/>
        </w:rPr>
        <w:t>:</w:t>
      </w:r>
      <w:r w:rsidR="00DE2122" w:rsidRPr="002C13F3">
        <w:rPr>
          <w:rFonts w:ascii="Century" w:hAnsi="Century"/>
          <w:sz w:val="24"/>
          <w:szCs w:val="24"/>
        </w:rPr>
        <w:t xml:space="preserve"> Aragón, Canarias, </w:t>
      </w:r>
      <w:r w:rsidR="00DE2122" w:rsidRPr="002C13F3">
        <w:rPr>
          <w:rFonts w:ascii="Century" w:hAnsi="Century"/>
          <w:sz w:val="24"/>
          <w:szCs w:val="24"/>
        </w:rPr>
        <w:lastRenderedPageBreak/>
        <w:t>Castilla-La Mancha, Castilla y León, Extremadura y La Rioja. Cantabria establece una escala idéntica a la del Estado. Los tipos de gravamen que se aplican en estas CCAA están comprendidos entre</w:t>
      </w:r>
      <w:r w:rsidR="00FC6819">
        <w:rPr>
          <w:rFonts w:ascii="Century" w:hAnsi="Century"/>
          <w:sz w:val="24"/>
          <w:szCs w:val="24"/>
        </w:rPr>
        <w:t xml:space="preserve"> el</w:t>
      </w:r>
      <w:r w:rsidR="00DE2122" w:rsidRPr="002C13F3">
        <w:rPr>
          <w:rFonts w:ascii="Century" w:hAnsi="Century"/>
          <w:sz w:val="24"/>
          <w:szCs w:val="24"/>
        </w:rPr>
        <w:t xml:space="preserve"> 7,65 y 34 por ciento, dependiendo de los tramos de la base liquidable</w:t>
      </w:r>
      <w:r w:rsidR="00DE2122" w:rsidRPr="002C13F3">
        <w:rPr>
          <w:rStyle w:val="Refdenotaalpie"/>
          <w:rFonts w:ascii="Century" w:hAnsi="Century"/>
        </w:rPr>
        <w:footnoteReference w:id="56"/>
      </w:r>
      <w:r w:rsidRPr="002C13F3">
        <w:rPr>
          <w:rFonts w:ascii="Century" w:hAnsi="Century"/>
        </w:rPr>
        <w:t>.</w:t>
      </w:r>
    </w:p>
    <w:p w:rsidR="001155E9" w:rsidRPr="002C13F3" w:rsidRDefault="001155E9" w:rsidP="002D11BC">
      <w:pPr>
        <w:spacing w:after="240" w:line="360" w:lineRule="auto"/>
        <w:jc w:val="both"/>
        <w:rPr>
          <w:rFonts w:ascii="Century" w:hAnsi="Century"/>
          <w:sz w:val="24"/>
          <w:szCs w:val="24"/>
        </w:rPr>
      </w:pPr>
      <w:r w:rsidRPr="002C13F3">
        <w:rPr>
          <w:rFonts w:ascii="Century" w:hAnsi="Century"/>
          <w:sz w:val="24"/>
          <w:szCs w:val="24"/>
        </w:rPr>
        <w:tab/>
        <w:t>Las demás CCAA establecen escala</w:t>
      </w:r>
      <w:r w:rsidR="005C2033">
        <w:rPr>
          <w:rFonts w:ascii="Century" w:hAnsi="Century"/>
          <w:sz w:val="24"/>
          <w:szCs w:val="24"/>
        </w:rPr>
        <w:t>s</w:t>
      </w:r>
      <w:r w:rsidRPr="002C13F3">
        <w:rPr>
          <w:rFonts w:ascii="Century" w:hAnsi="Century"/>
          <w:sz w:val="24"/>
          <w:szCs w:val="24"/>
        </w:rPr>
        <w:t xml:space="preserve"> aplicable</w:t>
      </w:r>
      <w:r w:rsidR="005C2033">
        <w:rPr>
          <w:rFonts w:ascii="Century" w:hAnsi="Century"/>
          <w:sz w:val="24"/>
          <w:szCs w:val="24"/>
        </w:rPr>
        <w:t>s</w:t>
      </w:r>
      <w:r w:rsidRPr="002C13F3">
        <w:rPr>
          <w:rFonts w:ascii="Century" w:hAnsi="Century"/>
          <w:sz w:val="24"/>
          <w:szCs w:val="24"/>
        </w:rPr>
        <w:t xml:space="preserve"> en su territorio. Andalucía, Asturias y Murcia son las CCAA donde se aplica un tipo de gravamen más alto, pues según los tramos de la base liquidable, los tipos</w:t>
      </w:r>
      <w:r w:rsidR="005C2033">
        <w:rPr>
          <w:rFonts w:ascii="Century" w:hAnsi="Century"/>
          <w:sz w:val="24"/>
          <w:szCs w:val="24"/>
        </w:rPr>
        <w:t xml:space="preserve"> </w:t>
      </w:r>
      <w:r w:rsidRPr="002C13F3">
        <w:rPr>
          <w:rFonts w:ascii="Century" w:hAnsi="Century"/>
          <w:sz w:val="24"/>
          <w:szCs w:val="24"/>
        </w:rPr>
        <w:t>oscilan entre</w:t>
      </w:r>
      <w:r w:rsidR="005C2033">
        <w:rPr>
          <w:rFonts w:ascii="Century" w:hAnsi="Century"/>
          <w:sz w:val="24"/>
          <w:szCs w:val="24"/>
        </w:rPr>
        <w:t xml:space="preserve"> el</w:t>
      </w:r>
      <w:r w:rsidRPr="002C13F3">
        <w:rPr>
          <w:rFonts w:ascii="Century" w:hAnsi="Century"/>
          <w:sz w:val="24"/>
          <w:szCs w:val="24"/>
        </w:rPr>
        <w:t xml:space="preserve"> 7,65 y</w:t>
      </w:r>
      <w:r w:rsidR="005C2033">
        <w:rPr>
          <w:rFonts w:ascii="Century" w:hAnsi="Century"/>
          <w:sz w:val="24"/>
          <w:szCs w:val="24"/>
        </w:rPr>
        <w:t xml:space="preserve"> el</w:t>
      </w:r>
      <w:r w:rsidRPr="002C13F3">
        <w:rPr>
          <w:rFonts w:ascii="Century" w:hAnsi="Century"/>
          <w:sz w:val="24"/>
          <w:szCs w:val="24"/>
        </w:rPr>
        <w:t xml:space="preserve"> 36,50 por ciento. En cambio, Baleares y Galicia aplican los tipos de gravamen más bajos de las Comunidades del régimen común, </w:t>
      </w:r>
      <w:r w:rsidR="005C2033">
        <w:rPr>
          <w:rFonts w:ascii="Century" w:hAnsi="Century"/>
          <w:sz w:val="24"/>
          <w:szCs w:val="24"/>
        </w:rPr>
        <w:t xml:space="preserve">siendo éstos </w:t>
      </w:r>
      <w:r w:rsidRPr="002C13F3">
        <w:rPr>
          <w:rFonts w:ascii="Century" w:hAnsi="Century"/>
          <w:sz w:val="24"/>
          <w:szCs w:val="24"/>
        </w:rPr>
        <w:t>del 1 al 20 por ciento y del 5 al 18 por ciento, respectivamente. Cataluña establece unos tipos de gravamen entre 7 y 32 por ciento.</w:t>
      </w:r>
      <w:r w:rsidR="005C2033">
        <w:rPr>
          <w:rFonts w:ascii="Century" w:hAnsi="Century"/>
          <w:sz w:val="24"/>
          <w:szCs w:val="24"/>
        </w:rPr>
        <w:t xml:space="preserve"> Finalmente,</w:t>
      </w:r>
      <w:r w:rsidRPr="002C13F3">
        <w:rPr>
          <w:rFonts w:ascii="Century" w:hAnsi="Century"/>
          <w:sz w:val="24"/>
          <w:szCs w:val="24"/>
        </w:rPr>
        <w:t xml:space="preserve"> Madrid y Valencia aplican unos tipos de gravamen</w:t>
      </w:r>
      <w:r w:rsidR="005C2033">
        <w:rPr>
          <w:rFonts w:ascii="Century" w:hAnsi="Century"/>
          <w:sz w:val="24"/>
          <w:szCs w:val="24"/>
        </w:rPr>
        <w:t xml:space="preserve"> que oscilan</w:t>
      </w:r>
      <w:r w:rsidRPr="002C13F3">
        <w:rPr>
          <w:rFonts w:ascii="Century" w:hAnsi="Century"/>
          <w:sz w:val="24"/>
          <w:szCs w:val="24"/>
        </w:rPr>
        <w:t xml:space="preserve"> entre</w:t>
      </w:r>
      <w:r w:rsidR="005C2033">
        <w:rPr>
          <w:rFonts w:ascii="Century" w:hAnsi="Century"/>
          <w:sz w:val="24"/>
          <w:szCs w:val="24"/>
        </w:rPr>
        <w:t xml:space="preserve"> el</w:t>
      </w:r>
      <w:r w:rsidRPr="002C13F3">
        <w:rPr>
          <w:rFonts w:ascii="Century" w:hAnsi="Century"/>
          <w:sz w:val="24"/>
          <w:szCs w:val="24"/>
        </w:rPr>
        <w:t xml:space="preserve"> 7,65 y</w:t>
      </w:r>
      <w:r w:rsidR="005C2033">
        <w:rPr>
          <w:rFonts w:ascii="Century" w:hAnsi="Century"/>
          <w:sz w:val="24"/>
          <w:szCs w:val="24"/>
        </w:rPr>
        <w:t xml:space="preserve"> el</w:t>
      </w:r>
      <w:r w:rsidRPr="002C13F3">
        <w:rPr>
          <w:rFonts w:ascii="Century" w:hAnsi="Century"/>
          <w:sz w:val="24"/>
          <w:szCs w:val="24"/>
        </w:rPr>
        <w:t xml:space="preserve"> 34 por ciento</w:t>
      </w:r>
      <w:r w:rsidR="005C2033">
        <w:rPr>
          <w:rFonts w:ascii="Century" w:hAnsi="Century"/>
          <w:sz w:val="24"/>
          <w:szCs w:val="24"/>
        </w:rPr>
        <w:t>,</w:t>
      </w:r>
      <w:r w:rsidRPr="002C13F3">
        <w:rPr>
          <w:rFonts w:ascii="Century" w:hAnsi="Century"/>
          <w:sz w:val="24"/>
          <w:szCs w:val="24"/>
        </w:rPr>
        <w:t xml:space="preserve"> según los tramos de la base liquidable es</w:t>
      </w:r>
      <w:r w:rsidR="00042F0C">
        <w:rPr>
          <w:rFonts w:ascii="Century" w:hAnsi="Century"/>
          <w:sz w:val="24"/>
          <w:szCs w:val="24"/>
        </w:rPr>
        <w:t>tablecidos</w:t>
      </w:r>
      <w:r w:rsidRPr="002C13F3">
        <w:rPr>
          <w:rFonts w:ascii="Century" w:hAnsi="Century"/>
          <w:sz w:val="24"/>
          <w:szCs w:val="24"/>
        </w:rPr>
        <w:t>.</w:t>
      </w:r>
    </w:p>
    <w:p w:rsidR="001155E9" w:rsidRDefault="001155E9" w:rsidP="002D11BC">
      <w:pPr>
        <w:spacing w:after="240" w:line="360" w:lineRule="auto"/>
        <w:jc w:val="both"/>
        <w:rPr>
          <w:rFonts w:ascii="Century" w:hAnsi="Century"/>
          <w:sz w:val="24"/>
          <w:szCs w:val="24"/>
        </w:rPr>
      </w:pPr>
      <w:r w:rsidRPr="002C13F3">
        <w:rPr>
          <w:rFonts w:ascii="Century" w:hAnsi="Century"/>
          <w:sz w:val="24"/>
          <w:szCs w:val="24"/>
        </w:rPr>
        <w:tab/>
        <w:t>Respecto a los Territorios Forales, en Navarra se aplica un porcentaje reducido del 0,80 por ciento</w:t>
      </w:r>
      <w:r w:rsidR="005C2033">
        <w:rPr>
          <w:rFonts w:ascii="Century" w:hAnsi="Century"/>
          <w:sz w:val="24"/>
          <w:szCs w:val="24"/>
        </w:rPr>
        <w:t>,</w:t>
      </w:r>
      <w:r w:rsidR="00976477" w:rsidRPr="002C13F3">
        <w:rPr>
          <w:rFonts w:ascii="Century" w:hAnsi="Century"/>
          <w:sz w:val="24"/>
          <w:szCs w:val="24"/>
        </w:rPr>
        <w:t xml:space="preserve"> y en </w:t>
      </w:r>
      <w:r w:rsidR="009A2077">
        <w:rPr>
          <w:rFonts w:ascii="Century" w:hAnsi="Century"/>
          <w:sz w:val="24"/>
          <w:szCs w:val="24"/>
        </w:rPr>
        <w:t xml:space="preserve">el País Vasco </w:t>
      </w:r>
      <w:r w:rsidR="00DE2FA7" w:rsidRPr="002C13F3">
        <w:rPr>
          <w:rFonts w:ascii="Century" w:hAnsi="Century"/>
          <w:sz w:val="24"/>
          <w:szCs w:val="24"/>
        </w:rPr>
        <w:t>del 1,5 por ciento</w:t>
      </w:r>
      <w:r w:rsidRPr="002C13F3">
        <w:rPr>
          <w:rFonts w:ascii="Century" w:hAnsi="Century"/>
          <w:sz w:val="24"/>
          <w:szCs w:val="24"/>
        </w:rPr>
        <w:t xml:space="preserve"> para cónyuges, descendientes o adoptados, ascendientes o adoptantes en línea recta por consanguinidad. </w:t>
      </w:r>
      <w:r w:rsidR="00DE2FA7" w:rsidRPr="002C13F3">
        <w:rPr>
          <w:rFonts w:ascii="Century" w:hAnsi="Century"/>
          <w:sz w:val="24"/>
          <w:szCs w:val="24"/>
        </w:rPr>
        <w:t>En Navarra, a</w:t>
      </w:r>
      <w:r w:rsidRPr="002C13F3">
        <w:rPr>
          <w:rFonts w:ascii="Century" w:hAnsi="Century"/>
          <w:sz w:val="24"/>
          <w:szCs w:val="24"/>
        </w:rPr>
        <w:t xml:space="preserve"> los ascendientes y descendientes por afinidad también se les aplicará el 0,80 por ciento, aunque se gravará el exceso sobre la base liquidable entre</w:t>
      </w:r>
      <w:r w:rsidR="005C2033">
        <w:rPr>
          <w:rFonts w:ascii="Century" w:hAnsi="Century"/>
          <w:sz w:val="24"/>
          <w:szCs w:val="24"/>
        </w:rPr>
        <w:t xml:space="preserve"> el</w:t>
      </w:r>
      <w:r w:rsidRPr="002C13F3">
        <w:rPr>
          <w:rFonts w:ascii="Century" w:hAnsi="Century"/>
          <w:sz w:val="24"/>
          <w:szCs w:val="24"/>
        </w:rPr>
        <w:t xml:space="preserve"> 6 </w:t>
      </w:r>
      <w:r w:rsidR="00DE2FA7" w:rsidRPr="002C13F3">
        <w:rPr>
          <w:rFonts w:ascii="Century" w:hAnsi="Century"/>
          <w:sz w:val="24"/>
          <w:szCs w:val="24"/>
        </w:rPr>
        <w:t>y</w:t>
      </w:r>
      <w:r w:rsidR="005C2033">
        <w:rPr>
          <w:rFonts w:ascii="Century" w:hAnsi="Century"/>
          <w:sz w:val="24"/>
          <w:szCs w:val="24"/>
        </w:rPr>
        <w:t xml:space="preserve"> el</w:t>
      </w:r>
      <w:r w:rsidR="00DE2FA7" w:rsidRPr="002C13F3">
        <w:rPr>
          <w:rFonts w:ascii="Century" w:hAnsi="Century"/>
          <w:sz w:val="24"/>
          <w:szCs w:val="24"/>
        </w:rPr>
        <w:t xml:space="preserve"> 20 por ciento</w:t>
      </w:r>
      <w:r w:rsidRPr="002C13F3">
        <w:rPr>
          <w:rFonts w:ascii="Century" w:hAnsi="Century"/>
          <w:sz w:val="24"/>
          <w:szCs w:val="24"/>
        </w:rPr>
        <w:t xml:space="preserve">, y </w:t>
      </w:r>
      <w:r w:rsidR="00DE2FA7" w:rsidRPr="002C13F3">
        <w:rPr>
          <w:rFonts w:ascii="Century" w:hAnsi="Century"/>
          <w:sz w:val="24"/>
          <w:szCs w:val="24"/>
        </w:rPr>
        <w:t>en el País Va</w:t>
      </w:r>
      <w:r w:rsidR="005C2033">
        <w:rPr>
          <w:rFonts w:ascii="Century" w:hAnsi="Century"/>
          <w:sz w:val="24"/>
          <w:szCs w:val="24"/>
        </w:rPr>
        <w:t>sco,</w:t>
      </w:r>
      <w:r w:rsidR="00DE2FA7" w:rsidRPr="002C13F3">
        <w:rPr>
          <w:rFonts w:ascii="Century" w:hAnsi="Century"/>
          <w:sz w:val="24"/>
          <w:szCs w:val="24"/>
        </w:rPr>
        <w:t xml:space="preserve"> unos porcentajes </w:t>
      </w:r>
      <w:r w:rsidRPr="002C13F3">
        <w:rPr>
          <w:rFonts w:ascii="Century" w:hAnsi="Century"/>
          <w:sz w:val="24"/>
          <w:szCs w:val="24"/>
        </w:rPr>
        <w:t>entre</w:t>
      </w:r>
      <w:r w:rsidR="005C2033">
        <w:rPr>
          <w:rFonts w:ascii="Century" w:hAnsi="Century"/>
          <w:sz w:val="24"/>
          <w:szCs w:val="24"/>
        </w:rPr>
        <w:t xml:space="preserve"> el</w:t>
      </w:r>
      <w:r w:rsidRPr="002C13F3">
        <w:rPr>
          <w:rFonts w:ascii="Century" w:hAnsi="Century"/>
          <w:sz w:val="24"/>
          <w:szCs w:val="24"/>
        </w:rPr>
        <w:t xml:space="preserve"> 5,70 y </w:t>
      </w:r>
      <w:r w:rsidR="005C2033">
        <w:rPr>
          <w:rFonts w:ascii="Century" w:hAnsi="Century"/>
          <w:sz w:val="24"/>
          <w:szCs w:val="24"/>
        </w:rPr>
        <w:t xml:space="preserve">el </w:t>
      </w:r>
      <w:r w:rsidRPr="002C13F3">
        <w:rPr>
          <w:rFonts w:ascii="Century" w:hAnsi="Century"/>
          <w:sz w:val="24"/>
          <w:szCs w:val="24"/>
        </w:rPr>
        <w:t>34,58 por ciento</w:t>
      </w:r>
      <w:r w:rsidR="005C2033">
        <w:rPr>
          <w:rFonts w:ascii="Century" w:hAnsi="Century"/>
          <w:sz w:val="24"/>
          <w:szCs w:val="24"/>
        </w:rPr>
        <w:t>,</w:t>
      </w:r>
      <w:r w:rsidRPr="002C13F3">
        <w:rPr>
          <w:rFonts w:ascii="Century" w:hAnsi="Century"/>
          <w:sz w:val="24"/>
          <w:szCs w:val="24"/>
        </w:rPr>
        <w:t xml:space="preserve"> según los tramos de base liquidable para ascendientes y descendientes por afinidad. </w:t>
      </w:r>
    </w:p>
    <w:p w:rsidR="005C2033" w:rsidRPr="00D92853" w:rsidRDefault="005C2033" w:rsidP="002D11BC">
      <w:pPr>
        <w:spacing w:after="240" w:line="360" w:lineRule="auto"/>
        <w:jc w:val="both"/>
        <w:rPr>
          <w:rFonts w:ascii="Century" w:hAnsi="Century" w:cstheme="minorHAnsi"/>
          <w:b/>
          <w:sz w:val="24"/>
          <w:szCs w:val="24"/>
        </w:rPr>
      </w:pPr>
      <w:r>
        <w:rPr>
          <w:rFonts w:ascii="Century" w:hAnsi="Century"/>
          <w:sz w:val="24"/>
          <w:szCs w:val="24"/>
        </w:rPr>
        <w:tab/>
      </w:r>
      <w:r w:rsidRPr="00D92853">
        <w:rPr>
          <w:rFonts w:ascii="Century" w:hAnsi="Century"/>
          <w:b/>
          <w:sz w:val="24"/>
          <w:szCs w:val="24"/>
        </w:rPr>
        <w:t>C - Cuotas</w:t>
      </w:r>
      <w:r w:rsidR="00D92853" w:rsidRPr="00D92853">
        <w:rPr>
          <w:rFonts w:cstheme="minorHAnsi"/>
          <w:b/>
          <w:sz w:val="24"/>
          <w:szCs w:val="24"/>
        </w:rPr>
        <w:t>:</w:t>
      </w:r>
      <w:r w:rsidR="00D92853" w:rsidRPr="00D92853">
        <w:rPr>
          <w:rFonts w:ascii="Century" w:hAnsi="Century" w:cstheme="minorHAnsi"/>
          <w:b/>
          <w:sz w:val="24"/>
          <w:szCs w:val="24"/>
        </w:rPr>
        <w:t xml:space="preserve"> incrementada y líquida</w:t>
      </w:r>
    </w:p>
    <w:p w:rsidR="00D92853" w:rsidRPr="002C13F3" w:rsidRDefault="001155E9" w:rsidP="002D11BC">
      <w:pPr>
        <w:spacing w:after="240" w:line="360" w:lineRule="auto"/>
        <w:jc w:val="both"/>
        <w:rPr>
          <w:rFonts w:ascii="Century" w:hAnsi="Century" w:cs="Helvetica Condensed"/>
          <w:color w:val="000000"/>
          <w:sz w:val="20"/>
          <w:szCs w:val="20"/>
        </w:rPr>
      </w:pPr>
      <w:r w:rsidRPr="002C13F3">
        <w:rPr>
          <w:rFonts w:ascii="Century" w:hAnsi="Century"/>
          <w:sz w:val="24"/>
          <w:szCs w:val="24"/>
        </w:rPr>
        <w:tab/>
      </w:r>
      <w:r w:rsidR="00E50043">
        <w:rPr>
          <w:rFonts w:ascii="Century" w:hAnsi="Century"/>
          <w:sz w:val="24"/>
          <w:szCs w:val="24"/>
        </w:rPr>
        <w:t>Como hemos visto anteriormente, a</w:t>
      </w:r>
      <w:r w:rsidRPr="002C13F3">
        <w:rPr>
          <w:rFonts w:ascii="Century" w:hAnsi="Century"/>
          <w:sz w:val="24"/>
          <w:szCs w:val="24"/>
        </w:rPr>
        <w:t xml:space="preserve"> </w:t>
      </w:r>
      <w:r w:rsidR="00180B2D" w:rsidRPr="002C13F3">
        <w:rPr>
          <w:rFonts w:ascii="Century" w:hAnsi="Century"/>
          <w:sz w:val="24"/>
          <w:szCs w:val="24"/>
        </w:rPr>
        <w:t xml:space="preserve">la referida </w:t>
      </w:r>
      <w:r w:rsidRPr="002C13F3">
        <w:rPr>
          <w:rFonts w:ascii="Century" w:hAnsi="Century"/>
          <w:sz w:val="24"/>
          <w:szCs w:val="24"/>
        </w:rPr>
        <w:t>cuota</w:t>
      </w:r>
      <w:r w:rsidR="007B35F1" w:rsidRPr="002C13F3">
        <w:rPr>
          <w:rFonts w:ascii="Century" w:hAnsi="Century"/>
          <w:sz w:val="24"/>
          <w:szCs w:val="24"/>
        </w:rPr>
        <w:t xml:space="preserve"> íntegra</w:t>
      </w:r>
      <w:r w:rsidRPr="002C13F3">
        <w:rPr>
          <w:rFonts w:ascii="Century" w:hAnsi="Century"/>
          <w:sz w:val="24"/>
          <w:szCs w:val="24"/>
        </w:rPr>
        <w:t xml:space="preserve"> se </w:t>
      </w:r>
      <w:r w:rsidR="00D92853">
        <w:rPr>
          <w:rFonts w:ascii="Century" w:hAnsi="Century"/>
          <w:sz w:val="24"/>
          <w:szCs w:val="24"/>
        </w:rPr>
        <w:t>han de aplicar unos</w:t>
      </w:r>
      <w:r w:rsidRPr="002C13F3">
        <w:rPr>
          <w:rFonts w:ascii="Century" w:hAnsi="Century"/>
          <w:sz w:val="24"/>
          <w:szCs w:val="24"/>
        </w:rPr>
        <w:t xml:space="preserve"> coeficiente</w:t>
      </w:r>
      <w:r w:rsidR="00180B2D" w:rsidRPr="002C13F3">
        <w:rPr>
          <w:rFonts w:ascii="Century" w:hAnsi="Century"/>
          <w:sz w:val="24"/>
          <w:szCs w:val="24"/>
        </w:rPr>
        <w:t>s</w:t>
      </w:r>
      <w:r w:rsidRPr="002C13F3">
        <w:rPr>
          <w:rFonts w:ascii="Century" w:hAnsi="Century"/>
          <w:sz w:val="24"/>
          <w:szCs w:val="24"/>
        </w:rPr>
        <w:t xml:space="preserve"> multiplicador</w:t>
      </w:r>
      <w:r w:rsidR="00180B2D" w:rsidRPr="002C13F3">
        <w:rPr>
          <w:rFonts w:ascii="Century" w:hAnsi="Century"/>
          <w:sz w:val="24"/>
          <w:szCs w:val="24"/>
        </w:rPr>
        <w:t xml:space="preserve">es </w:t>
      </w:r>
      <w:r w:rsidR="007B35F1" w:rsidRPr="002C13F3">
        <w:rPr>
          <w:rFonts w:ascii="Century" w:hAnsi="Century"/>
          <w:sz w:val="24"/>
          <w:szCs w:val="24"/>
        </w:rPr>
        <w:t>en función</w:t>
      </w:r>
      <w:r w:rsidRPr="002C13F3">
        <w:rPr>
          <w:rFonts w:ascii="Century" w:hAnsi="Century"/>
          <w:sz w:val="24"/>
          <w:szCs w:val="24"/>
        </w:rPr>
        <w:t xml:space="preserve"> </w:t>
      </w:r>
      <w:r w:rsidR="00180B2D" w:rsidRPr="002C13F3">
        <w:rPr>
          <w:rFonts w:ascii="Century" w:hAnsi="Century"/>
          <w:sz w:val="24"/>
          <w:szCs w:val="24"/>
        </w:rPr>
        <w:t xml:space="preserve">de </w:t>
      </w:r>
      <w:r w:rsidRPr="002C13F3">
        <w:rPr>
          <w:rFonts w:ascii="Century" w:hAnsi="Century"/>
          <w:sz w:val="24"/>
          <w:szCs w:val="24"/>
        </w:rPr>
        <w:t>la cuantía de los tramos del patrimonio preexistente</w:t>
      </w:r>
      <w:r w:rsidR="00180B2D" w:rsidRPr="002C13F3">
        <w:rPr>
          <w:rFonts w:ascii="Century" w:hAnsi="Century"/>
          <w:sz w:val="24"/>
          <w:szCs w:val="24"/>
        </w:rPr>
        <w:t xml:space="preserve"> de los adquirentes</w:t>
      </w:r>
      <w:r w:rsidRPr="002C13F3">
        <w:rPr>
          <w:rFonts w:ascii="Century" w:hAnsi="Century"/>
          <w:sz w:val="24"/>
          <w:szCs w:val="24"/>
        </w:rPr>
        <w:t xml:space="preserve"> que hayan sido </w:t>
      </w:r>
      <w:r w:rsidRPr="002C13F3">
        <w:rPr>
          <w:rFonts w:ascii="Century" w:hAnsi="Century"/>
          <w:sz w:val="24"/>
          <w:szCs w:val="24"/>
        </w:rPr>
        <w:lastRenderedPageBreak/>
        <w:t xml:space="preserve">aprobados por </w:t>
      </w:r>
      <w:r w:rsidR="00D92853">
        <w:rPr>
          <w:rFonts w:ascii="Century" w:hAnsi="Century"/>
          <w:sz w:val="24"/>
          <w:szCs w:val="24"/>
        </w:rPr>
        <w:t>cada</w:t>
      </w:r>
      <w:r w:rsidRPr="002C13F3">
        <w:rPr>
          <w:rFonts w:ascii="Century" w:hAnsi="Century"/>
          <w:sz w:val="24"/>
          <w:szCs w:val="24"/>
        </w:rPr>
        <w:t xml:space="preserve"> Comunidad Autónoma</w:t>
      </w:r>
      <w:r w:rsidR="00180B2D" w:rsidRPr="002C13F3">
        <w:rPr>
          <w:rFonts w:ascii="Century" w:hAnsi="Century"/>
          <w:sz w:val="24"/>
          <w:szCs w:val="24"/>
        </w:rPr>
        <w:t>, así como</w:t>
      </w:r>
      <w:r w:rsidRPr="002C13F3">
        <w:rPr>
          <w:rFonts w:ascii="Century" w:hAnsi="Century"/>
          <w:sz w:val="24"/>
          <w:szCs w:val="24"/>
        </w:rPr>
        <w:t xml:space="preserve"> del grupo, según el grado de parentesco, para </w:t>
      </w:r>
      <w:r w:rsidR="0030430B" w:rsidRPr="002C13F3">
        <w:rPr>
          <w:rFonts w:ascii="Century" w:hAnsi="Century"/>
          <w:sz w:val="24"/>
          <w:szCs w:val="24"/>
        </w:rPr>
        <w:t>obtener así</w:t>
      </w:r>
      <w:r w:rsidRPr="002C13F3">
        <w:rPr>
          <w:rFonts w:ascii="Century" w:hAnsi="Century"/>
          <w:sz w:val="24"/>
          <w:szCs w:val="24"/>
        </w:rPr>
        <w:t xml:space="preserve"> la </w:t>
      </w:r>
      <w:r w:rsidR="00D92853">
        <w:rPr>
          <w:rFonts w:ascii="Century" w:hAnsi="Century"/>
          <w:sz w:val="24"/>
          <w:szCs w:val="24"/>
        </w:rPr>
        <w:t xml:space="preserve">denominada </w:t>
      </w:r>
      <w:r w:rsidRPr="002C13F3">
        <w:rPr>
          <w:rFonts w:ascii="Century" w:hAnsi="Century"/>
          <w:sz w:val="24"/>
          <w:szCs w:val="24"/>
        </w:rPr>
        <w:t>cuota</w:t>
      </w:r>
      <w:r w:rsidR="00D92853">
        <w:rPr>
          <w:rFonts w:ascii="Century" w:hAnsi="Century"/>
          <w:sz w:val="24"/>
          <w:szCs w:val="24"/>
        </w:rPr>
        <w:t xml:space="preserve"> incrementada</w:t>
      </w:r>
      <w:r w:rsidR="007B35F1" w:rsidRPr="002C13F3">
        <w:rPr>
          <w:rFonts w:ascii="Century" w:hAnsi="Century"/>
          <w:sz w:val="24"/>
          <w:szCs w:val="24"/>
        </w:rPr>
        <w:t xml:space="preserve">. </w:t>
      </w:r>
      <w:r w:rsidR="00D92853" w:rsidRPr="002C13F3">
        <w:rPr>
          <w:rFonts w:ascii="Century" w:hAnsi="Century"/>
          <w:sz w:val="24"/>
          <w:szCs w:val="24"/>
        </w:rPr>
        <w:t xml:space="preserve">El hecho de introducir los coeficientes multiplicadores </w:t>
      </w:r>
      <w:r w:rsidR="00D92853">
        <w:rPr>
          <w:rFonts w:ascii="Century" w:hAnsi="Century"/>
          <w:sz w:val="24"/>
          <w:szCs w:val="24"/>
        </w:rPr>
        <w:t>en atención al</w:t>
      </w:r>
      <w:r w:rsidR="00D92853" w:rsidRPr="002C13F3">
        <w:rPr>
          <w:rFonts w:ascii="Century" w:hAnsi="Century"/>
          <w:sz w:val="24"/>
          <w:szCs w:val="24"/>
        </w:rPr>
        <w:t xml:space="preserve"> patrimonio preexistente del sujeto pasivo como elementos fundamentales en la determinación</w:t>
      </w:r>
      <w:r w:rsidR="00B07A97">
        <w:rPr>
          <w:rFonts w:ascii="Century" w:hAnsi="Century"/>
          <w:sz w:val="24"/>
          <w:szCs w:val="24"/>
        </w:rPr>
        <w:t xml:space="preserve"> de la cuota tributaria del ISUC</w:t>
      </w:r>
      <w:r w:rsidR="00D92853" w:rsidRPr="002C13F3">
        <w:rPr>
          <w:rFonts w:ascii="Century" w:hAnsi="Century"/>
          <w:sz w:val="24"/>
          <w:szCs w:val="24"/>
        </w:rPr>
        <w:t xml:space="preserve"> fue una de las novedades más importantes de la LISD, con el objetivo de corregir el resultado redistributivo de la herencia </w:t>
      </w:r>
      <w:r w:rsidR="00D92853" w:rsidRPr="002C13F3">
        <w:rPr>
          <w:rFonts w:ascii="Century" w:hAnsi="Century" w:cs="Helvetica Condensed"/>
          <w:color w:val="000000"/>
          <w:sz w:val="24"/>
          <w:szCs w:val="24"/>
        </w:rPr>
        <w:t>para conseguir una mayor progresividad y una mejor distribución de la carga fiscal</w:t>
      </w:r>
      <w:r w:rsidR="00D92853" w:rsidRPr="002C13F3">
        <w:rPr>
          <w:rStyle w:val="Refdenotaalpie"/>
          <w:rFonts w:ascii="Century" w:hAnsi="Century"/>
          <w:sz w:val="24"/>
          <w:szCs w:val="24"/>
        </w:rPr>
        <w:footnoteReference w:id="57"/>
      </w:r>
      <w:r w:rsidR="00D92853" w:rsidRPr="002C13F3">
        <w:rPr>
          <w:rFonts w:ascii="Century" w:hAnsi="Century"/>
          <w:sz w:val="24"/>
          <w:szCs w:val="24"/>
        </w:rPr>
        <w:t>.</w:t>
      </w:r>
    </w:p>
    <w:p w:rsidR="005413A2" w:rsidRPr="002C13F3" w:rsidRDefault="00D92853" w:rsidP="002D11BC">
      <w:pPr>
        <w:spacing w:after="240" w:line="360" w:lineRule="auto"/>
        <w:jc w:val="both"/>
        <w:rPr>
          <w:rFonts w:ascii="Century" w:hAnsi="Century" w:cs="Helvetica Condensed"/>
          <w:color w:val="000000"/>
          <w:sz w:val="20"/>
          <w:szCs w:val="20"/>
        </w:rPr>
      </w:pPr>
      <w:r>
        <w:rPr>
          <w:rFonts w:ascii="Century" w:hAnsi="Century"/>
          <w:sz w:val="24"/>
          <w:szCs w:val="24"/>
        </w:rPr>
        <w:tab/>
      </w:r>
      <w:r w:rsidR="00125DE6">
        <w:rPr>
          <w:rFonts w:ascii="Century" w:hAnsi="Century"/>
          <w:sz w:val="24"/>
          <w:szCs w:val="24"/>
        </w:rPr>
        <w:t>L</w:t>
      </w:r>
      <w:r w:rsidR="00DD451D" w:rsidRPr="002C13F3">
        <w:rPr>
          <w:rFonts w:ascii="Century" w:hAnsi="Century"/>
          <w:sz w:val="24"/>
          <w:szCs w:val="24"/>
        </w:rPr>
        <w:t>as CCAA que establecen los coeficientes multiplicadores y tramos del patrimonio preexistente</w:t>
      </w:r>
      <w:r>
        <w:rPr>
          <w:rFonts w:ascii="Century" w:hAnsi="Century"/>
          <w:sz w:val="24"/>
          <w:szCs w:val="24"/>
        </w:rPr>
        <w:t>,</w:t>
      </w:r>
      <w:r w:rsidR="00DD451D" w:rsidRPr="002C13F3">
        <w:rPr>
          <w:rFonts w:ascii="Century" w:hAnsi="Century"/>
          <w:sz w:val="24"/>
          <w:szCs w:val="24"/>
        </w:rPr>
        <w:t xml:space="preserve"> como los que regula el Estado</w:t>
      </w:r>
      <w:r>
        <w:rPr>
          <w:rFonts w:ascii="Century" w:hAnsi="Century"/>
          <w:sz w:val="24"/>
          <w:szCs w:val="24"/>
        </w:rPr>
        <w:t>,</w:t>
      </w:r>
      <w:r w:rsidR="00DD451D" w:rsidRPr="002C13F3">
        <w:rPr>
          <w:rFonts w:ascii="Century" w:hAnsi="Century"/>
          <w:sz w:val="24"/>
          <w:szCs w:val="24"/>
        </w:rPr>
        <w:t xml:space="preserve"> son</w:t>
      </w:r>
      <w:r>
        <w:rPr>
          <w:rFonts w:cstheme="minorHAnsi"/>
          <w:sz w:val="24"/>
          <w:szCs w:val="24"/>
        </w:rPr>
        <w:t>:</w:t>
      </w:r>
      <w:r w:rsidR="00DD451D" w:rsidRPr="002C13F3">
        <w:rPr>
          <w:rFonts w:ascii="Century" w:hAnsi="Century"/>
          <w:sz w:val="24"/>
          <w:szCs w:val="24"/>
        </w:rPr>
        <w:t xml:space="preserve"> Andalucía, Aragón, Canarias, Castilla-La Mancha, Castilla y León, La Rioja, Murcia, Navarra y País Vasco. Baleares y Cataluña fijan sus propios coeficientes y tramos. El resto de territorios </w:t>
      </w:r>
      <w:r w:rsidR="003A6BF4" w:rsidRPr="002C13F3">
        <w:rPr>
          <w:rFonts w:ascii="Century" w:hAnsi="Century"/>
          <w:sz w:val="24"/>
          <w:szCs w:val="24"/>
        </w:rPr>
        <w:t>establecen los mismos que el Estado, salvo alguna variación.</w:t>
      </w:r>
      <w:r w:rsidR="006F2C98" w:rsidRPr="002C13F3">
        <w:rPr>
          <w:rFonts w:ascii="Century" w:hAnsi="Century"/>
          <w:sz w:val="24"/>
          <w:szCs w:val="24"/>
        </w:rPr>
        <w:t xml:space="preserve"> </w:t>
      </w:r>
    </w:p>
    <w:p w:rsidR="00D54E3E" w:rsidRPr="002C13F3" w:rsidRDefault="001155E9" w:rsidP="002D11BC">
      <w:pPr>
        <w:spacing w:after="240" w:line="360" w:lineRule="auto"/>
        <w:jc w:val="both"/>
        <w:rPr>
          <w:rFonts w:ascii="Century" w:hAnsi="Century"/>
          <w:b/>
          <w:color w:val="000000"/>
          <w:sz w:val="24"/>
          <w:szCs w:val="24"/>
          <w:u w:val="single"/>
        </w:rPr>
      </w:pPr>
      <w:r w:rsidRPr="002C13F3">
        <w:rPr>
          <w:rFonts w:ascii="Century" w:hAnsi="Century"/>
          <w:sz w:val="24"/>
          <w:szCs w:val="24"/>
        </w:rPr>
        <w:tab/>
        <w:t>Finalmente,</w:t>
      </w:r>
      <w:r w:rsidR="00D92853">
        <w:rPr>
          <w:rFonts w:ascii="Century" w:hAnsi="Century"/>
          <w:sz w:val="24"/>
          <w:szCs w:val="24"/>
        </w:rPr>
        <w:t xml:space="preserve"> </w:t>
      </w:r>
      <w:r w:rsidR="00FF6207" w:rsidRPr="002C13F3">
        <w:rPr>
          <w:rFonts w:ascii="Century" w:hAnsi="Century"/>
          <w:sz w:val="24"/>
          <w:szCs w:val="24"/>
        </w:rPr>
        <w:t>sobre la cuota incrementada por los referidos coeficientes</w:t>
      </w:r>
      <w:r w:rsidRPr="002C13F3">
        <w:rPr>
          <w:rFonts w:ascii="Century" w:hAnsi="Century"/>
          <w:sz w:val="24"/>
          <w:szCs w:val="24"/>
        </w:rPr>
        <w:t xml:space="preserve"> se aplicarán </w:t>
      </w:r>
      <w:r w:rsidR="00D92853">
        <w:rPr>
          <w:rFonts w:ascii="Century" w:hAnsi="Century"/>
          <w:sz w:val="24"/>
          <w:szCs w:val="24"/>
        </w:rPr>
        <w:t>las</w:t>
      </w:r>
      <w:r w:rsidRPr="002C13F3">
        <w:rPr>
          <w:rFonts w:ascii="Century" w:hAnsi="Century"/>
          <w:sz w:val="24"/>
          <w:szCs w:val="24"/>
        </w:rPr>
        <w:t xml:space="preserve"> bonificaciones y deducciones </w:t>
      </w:r>
      <w:r w:rsidR="00D92853">
        <w:rPr>
          <w:rFonts w:ascii="Century" w:hAnsi="Century"/>
          <w:sz w:val="24"/>
          <w:szCs w:val="24"/>
        </w:rPr>
        <w:t>correspondientes, obteniéndose así</w:t>
      </w:r>
      <w:r w:rsidRPr="002C13F3">
        <w:rPr>
          <w:rFonts w:ascii="Century" w:hAnsi="Century"/>
          <w:sz w:val="24"/>
          <w:szCs w:val="24"/>
        </w:rPr>
        <w:t xml:space="preserve"> la cuota líquida</w:t>
      </w:r>
      <w:r w:rsidR="00FF6207" w:rsidRPr="002C13F3">
        <w:rPr>
          <w:rFonts w:ascii="Century" w:hAnsi="Century"/>
          <w:sz w:val="24"/>
          <w:szCs w:val="24"/>
        </w:rPr>
        <w:t xml:space="preserve"> del impuesto</w:t>
      </w:r>
      <w:r w:rsidRPr="002C13F3">
        <w:rPr>
          <w:rFonts w:ascii="Century" w:hAnsi="Century"/>
          <w:sz w:val="24"/>
          <w:szCs w:val="24"/>
        </w:rPr>
        <w:t xml:space="preserve">. </w:t>
      </w:r>
      <w:r w:rsidR="00FF6207" w:rsidRPr="002C13F3">
        <w:rPr>
          <w:rFonts w:ascii="Century" w:hAnsi="Century"/>
          <w:sz w:val="24"/>
          <w:szCs w:val="24"/>
        </w:rPr>
        <w:t>Tanto</w:t>
      </w:r>
      <w:r w:rsidRPr="002C13F3">
        <w:rPr>
          <w:rFonts w:ascii="Century" w:hAnsi="Century"/>
          <w:sz w:val="24"/>
          <w:szCs w:val="24"/>
        </w:rPr>
        <w:t xml:space="preserve"> el Estado</w:t>
      </w:r>
      <w:r w:rsidR="00FF6207" w:rsidRPr="002C13F3">
        <w:rPr>
          <w:rFonts w:ascii="Century" w:hAnsi="Century"/>
          <w:sz w:val="24"/>
          <w:szCs w:val="24"/>
        </w:rPr>
        <w:t xml:space="preserve"> como</w:t>
      </w:r>
      <w:r w:rsidRPr="002C13F3">
        <w:rPr>
          <w:rFonts w:ascii="Century" w:hAnsi="Century"/>
          <w:sz w:val="24"/>
          <w:szCs w:val="24"/>
        </w:rPr>
        <w:t xml:space="preserve"> cada Comunidad</w:t>
      </w:r>
      <w:r w:rsidR="00FF6207" w:rsidRPr="002C13F3">
        <w:rPr>
          <w:rFonts w:ascii="Century" w:hAnsi="Century"/>
          <w:sz w:val="24"/>
          <w:szCs w:val="24"/>
        </w:rPr>
        <w:t xml:space="preserve"> Autónoma</w:t>
      </w:r>
      <w:r w:rsidRPr="002C13F3">
        <w:rPr>
          <w:rFonts w:ascii="Century" w:hAnsi="Century"/>
          <w:sz w:val="24"/>
          <w:szCs w:val="24"/>
        </w:rPr>
        <w:t xml:space="preserve"> establecen </w:t>
      </w:r>
      <w:r w:rsidR="00D92853">
        <w:rPr>
          <w:rFonts w:ascii="Century" w:hAnsi="Century"/>
          <w:sz w:val="24"/>
          <w:szCs w:val="24"/>
        </w:rPr>
        <w:t>las suyas, en cuantía distinta, llegando a encontrar importantes disparidades entre CCAA</w:t>
      </w:r>
      <w:r w:rsidRPr="002C13F3">
        <w:rPr>
          <w:rFonts w:ascii="Century" w:hAnsi="Century"/>
          <w:sz w:val="24"/>
          <w:szCs w:val="24"/>
        </w:rPr>
        <w:t>.</w:t>
      </w:r>
      <w:r w:rsidR="00084AE7" w:rsidRPr="002C13F3">
        <w:rPr>
          <w:rFonts w:ascii="Century" w:hAnsi="Century"/>
          <w:sz w:val="24"/>
          <w:szCs w:val="24"/>
        </w:rPr>
        <w:t xml:space="preserve"> Así, </w:t>
      </w:r>
      <w:r w:rsidR="00D54E3E" w:rsidRPr="002C13F3">
        <w:rPr>
          <w:rFonts w:ascii="Century" w:hAnsi="Century"/>
          <w:color w:val="000000"/>
          <w:sz w:val="24"/>
          <w:szCs w:val="24"/>
        </w:rPr>
        <w:t>casi todas las CCAA aplican este tipo de beneficios fiscales</w:t>
      </w:r>
      <w:r w:rsidR="00D92853">
        <w:rPr>
          <w:rFonts w:ascii="Century" w:hAnsi="Century"/>
          <w:color w:val="000000"/>
          <w:sz w:val="24"/>
          <w:szCs w:val="24"/>
        </w:rPr>
        <w:t>,</w:t>
      </w:r>
      <w:r w:rsidR="00D54E3E" w:rsidRPr="002C13F3">
        <w:rPr>
          <w:rFonts w:ascii="Century" w:hAnsi="Century"/>
          <w:color w:val="000000"/>
          <w:sz w:val="24"/>
          <w:szCs w:val="24"/>
        </w:rPr>
        <w:t xml:space="preserve"> excepto en Castilla y León y Extremadura. Así pues, el</w:t>
      </w:r>
      <w:r w:rsidR="00D54E3E" w:rsidRPr="002C13F3">
        <w:rPr>
          <w:rFonts w:ascii="Century" w:hAnsi="Century"/>
          <w:sz w:val="24"/>
          <w:szCs w:val="24"/>
        </w:rPr>
        <w:t xml:space="preserve"> cónyuge, los descendientes o adoptados y los ascendientes o adoptantes podrán aplicarse las</w:t>
      </w:r>
      <w:r w:rsidR="00D92853">
        <w:rPr>
          <w:rFonts w:ascii="Century" w:hAnsi="Century"/>
          <w:sz w:val="24"/>
          <w:szCs w:val="24"/>
        </w:rPr>
        <w:t xml:space="preserve"> bonificaciones y deducciones en la cuota tributaria</w:t>
      </w:r>
      <w:r w:rsidR="00D54E3E" w:rsidRPr="002C13F3">
        <w:rPr>
          <w:rFonts w:ascii="Century" w:hAnsi="Century"/>
          <w:sz w:val="24"/>
          <w:szCs w:val="24"/>
        </w:rPr>
        <w:t xml:space="preserve"> </w:t>
      </w:r>
      <w:r w:rsidR="00D92853">
        <w:rPr>
          <w:rFonts w:ascii="Century" w:hAnsi="Century"/>
          <w:sz w:val="24"/>
          <w:szCs w:val="24"/>
        </w:rPr>
        <w:t xml:space="preserve">que pasamos a referir. </w:t>
      </w:r>
    </w:p>
    <w:p w:rsidR="00D54E3E" w:rsidRPr="002C13F3" w:rsidRDefault="00D54E3E" w:rsidP="002D11BC">
      <w:pPr>
        <w:pStyle w:val="NormalWeb"/>
        <w:spacing w:before="0" w:beforeAutospacing="0" w:after="240" w:afterAutospacing="0" w:line="360" w:lineRule="auto"/>
        <w:jc w:val="both"/>
        <w:rPr>
          <w:rFonts w:ascii="Century" w:eastAsia="Arial Unicode MS" w:hAnsi="Century" w:cs="Arial Unicode MS"/>
          <w:color w:val="000000"/>
          <w:lang w:eastAsia="en-US"/>
        </w:rPr>
      </w:pPr>
      <w:r w:rsidRPr="002C13F3">
        <w:rPr>
          <w:rFonts w:ascii="Century" w:hAnsi="Century"/>
          <w:color w:val="000000"/>
        </w:rPr>
        <w:tab/>
        <w:t>En Aragón</w:t>
      </w:r>
      <w:r w:rsidR="00D92853">
        <w:rPr>
          <w:rFonts w:ascii="Century" w:hAnsi="Century"/>
          <w:color w:val="000000"/>
        </w:rPr>
        <w:t>, se contempla</w:t>
      </w:r>
      <w:r w:rsidRPr="002C13F3">
        <w:rPr>
          <w:rFonts w:ascii="Century" w:hAnsi="Century"/>
          <w:color w:val="000000"/>
        </w:rPr>
        <w:t xml:space="preserve"> l</w:t>
      </w:r>
      <w:r w:rsidR="00D92853">
        <w:rPr>
          <w:rFonts w:ascii="Century" w:hAnsi="Century"/>
        </w:rPr>
        <w:t>a bonificación</w:t>
      </w:r>
      <w:r w:rsidRPr="002C13F3">
        <w:rPr>
          <w:rFonts w:ascii="Century" w:hAnsi="Century"/>
        </w:rPr>
        <w:t xml:space="preserve"> para hechos imponibles devengados a partir del 1 de enero de 2016, del 65 por ciento, siempre y cuando la base imponible sea igual o inferior a 100.000 euros y el patrimonio preexistente del sujeto pasivo no exceda de 100.000 euros. En Asturias, se </w:t>
      </w:r>
      <w:r w:rsidRPr="002C13F3">
        <w:rPr>
          <w:rFonts w:ascii="Century" w:hAnsi="Century"/>
        </w:rPr>
        <w:lastRenderedPageBreak/>
        <w:t>aplicará una</w:t>
      </w:r>
      <w:r w:rsidR="000E688B">
        <w:rPr>
          <w:rFonts w:ascii="Century" w:hAnsi="Century"/>
        </w:rPr>
        <w:t xml:space="preserve"> bonificación del 100 por cien</w:t>
      </w:r>
      <w:r w:rsidRPr="002C13F3">
        <w:rPr>
          <w:rFonts w:ascii="Century" w:hAnsi="Century"/>
        </w:rPr>
        <w:t xml:space="preserve"> de la cuota </w:t>
      </w:r>
      <w:r w:rsidRPr="002C13F3">
        <w:rPr>
          <w:rFonts w:ascii="Century" w:eastAsia="Arial Unicode MS" w:hAnsi="Century" w:cs="Arial Unicode MS"/>
          <w:color w:val="000000"/>
        </w:rPr>
        <w:t>que resulte después de aplicar las deducciones estatales y autonómicas que, en su caso, resulten aplicables</w:t>
      </w:r>
      <w:r w:rsidR="00D92853">
        <w:rPr>
          <w:rFonts w:ascii="Century" w:eastAsia="Arial Unicode MS" w:hAnsi="Century" w:cs="Arial Unicode MS"/>
          <w:color w:val="000000"/>
        </w:rPr>
        <w:t>,</w:t>
      </w:r>
      <w:r w:rsidRPr="002C13F3">
        <w:rPr>
          <w:rFonts w:ascii="Century" w:eastAsia="Arial Unicode MS" w:hAnsi="Century" w:cs="Arial Unicode MS"/>
          <w:color w:val="000000"/>
        </w:rPr>
        <w:t xml:space="preserve"> siempre que la base imponible sea igual o inferior a 150.000 euros y que el patrimonio preexistente del heredero no sea superior a 402.678,11 euros. </w:t>
      </w:r>
      <w:r w:rsidRPr="002C13F3">
        <w:rPr>
          <w:rFonts w:ascii="Century" w:eastAsia="Arial Unicode MS" w:hAnsi="Century" w:cs="Arial Unicode MS"/>
          <w:color w:val="000000"/>
          <w:lang w:eastAsia="en-US"/>
        </w:rPr>
        <w:t>La presente bonificación resultará asimismo de aplicación a los contribuyentes con discapacidad con un grado de minusvalía reconocido igual o superior al</w:t>
      </w:r>
      <w:r w:rsidR="00042F0C">
        <w:rPr>
          <w:rFonts w:ascii="Century" w:eastAsia="Arial Unicode MS" w:hAnsi="Century" w:cs="Arial Unicode MS"/>
          <w:color w:val="000000"/>
          <w:lang w:eastAsia="en-US"/>
        </w:rPr>
        <w:t xml:space="preserve"> 65 por ciento, siempre que</w:t>
      </w:r>
      <w:r w:rsidRPr="002C13F3">
        <w:rPr>
          <w:rFonts w:ascii="Century" w:eastAsia="Arial Unicode MS" w:hAnsi="Century" w:cs="Arial Unicode MS"/>
          <w:color w:val="000000"/>
          <w:lang w:eastAsia="en-US"/>
        </w:rPr>
        <w:t xml:space="preserve"> su patrimonio preexistente no sea superior al citado importe, con independencia de su grado de parentesco con el causante.</w:t>
      </w:r>
    </w:p>
    <w:p w:rsidR="00D54E3E" w:rsidRPr="002C13F3" w:rsidRDefault="00D54E3E" w:rsidP="002D11BC">
      <w:pPr>
        <w:pStyle w:val="NormalWeb"/>
        <w:spacing w:before="0" w:beforeAutospacing="0" w:after="240" w:afterAutospacing="0" w:line="360" w:lineRule="auto"/>
        <w:jc w:val="both"/>
        <w:rPr>
          <w:rFonts w:ascii="Century" w:hAnsi="Century"/>
        </w:rPr>
      </w:pPr>
      <w:r w:rsidRPr="002C13F3">
        <w:rPr>
          <w:rFonts w:ascii="Century" w:eastAsia="Arial Unicode MS" w:hAnsi="Century" w:cs="Arial Unicode MS"/>
          <w:color w:val="000000"/>
          <w:lang w:eastAsia="en-US"/>
        </w:rPr>
        <w:tab/>
        <w:t xml:space="preserve">En Baleares, se </w:t>
      </w:r>
      <w:r w:rsidR="00F247AB">
        <w:rPr>
          <w:rFonts w:ascii="Century" w:eastAsia="Arial Unicode MS" w:hAnsi="Century" w:cs="Arial Unicode MS"/>
          <w:color w:val="000000"/>
          <w:lang w:eastAsia="en-US"/>
        </w:rPr>
        <w:t>contempla</w:t>
      </w:r>
      <w:r w:rsidRPr="002C13F3">
        <w:rPr>
          <w:rFonts w:ascii="Century" w:eastAsia="Arial Unicode MS" w:hAnsi="Century" w:cs="Arial Unicode MS"/>
          <w:color w:val="000000"/>
          <w:lang w:eastAsia="en-US"/>
        </w:rPr>
        <w:t xml:space="preserve"> una bonificación del 99 por ciento sobre la cuota íntegra corregida, únicamente a los descendientes menores de veintiún años. En Canarias, una bonificación del 99,9 por ciento de la cuota tributaria. En Castilla-La Mancha, se </w:t>
      </w:r>
      <w:r w:rsidR="004C53CB">
        <w:rPr>
          <w:rFonts w:ascii="Century" w:eastAsia="Arial Unicode MS" w:hAnsi="Century" w:cs="Arial Unicode MS"/>
          <w:color w:val="000000"/>
          <w:lang w:eastAsia="en-US"/>
        </w:rPr>
        <w:t>prevén</w:t>
      </w:r>
      <w:r w:rsidRPr="002C13F3">
        <w:rPr>
          <w:rFonts w:ascii="Century" w:eastAsia="Arial Unicode MS" w:hAnsi="Century" w:cs="Arial Unicode MS"/>
          <w:color w:val="000000"/>
          <w:lang w:eastAsia="en-US"/>
        </w:rPr>
        <w:t xml:space="preserve"> las siguientes bonificaciones, e</w:t>
      </w:r>
      <w:r w:rsidRPr="002C13F3">
        <w:rPr>
          <w:rFonts w:ascii="Century" w:hAnsi="Century"/>
          <w:iCs/>
        </w:rPr>
        <w:t>n función del importe de la base liquidable de sus respectivas declaraciones tributarias</w:t>
      </w:r>
      <w:r w:rsidRPr="00514069">
        <w:rPr>
          <w:rFonts w:asciiTheme="minorHAnsi" w:hAnsiTheme="minorHAnsi" w:cstheme="minorHAnsi"/>
          <w:iCs/>
        </w:rPr>
        <w:t>:</w:t>
      </w:r>
      <w:r w:rsidR="004C53CB">
        <w:rPr>
          <w:rFonts w:asciiTheme="minorHAnsi" w:hAnsiTheme="minorHAnsi" w:cstheme="minorHAnsi"/>
          <w:iCs/>
        </w:rPr>
        <w:t xml:space="preserve"> </w:t>
      </w:r>
      <w:r w:rsidR="004C53CB" w:rsidRPr="004C53CB">
        <w:rPr>
          <w:rFonts w:ascii="Century" w:hAnsi="Century" w:cstheme="minorHAnsi"/>
          <w:iCs/>
        </w:rPr>
        <w:t>así, para</w:t>
      </w:r>
      <w:r w:rsidRPr="002C13F3">
        <w:rPr>
          <w:rFonts w:ascii="Century" w:hAnsi="Century"/>
          <w:b/>
          <w:bCs/>
          <w:iCs/>
        </w:rPr>
        <w:t xml:space="preserve"> </w:t>
      </w:r>
      <w:r w:rsidRPr="002C13F3">
        <w:rPr>
          <w:rFonts w:ascii="Century" w:hAnsi="Century"/>
          <w:iCs/>
        </w:rPr>
        <w:t>declaraciones tributarias cuya base liquidable sea inferior a 175.000 euros, una</w:t>
      </w:r>
      <w:r w:rsidR="000E688B">
        <w:rPr>
          <w:rFonts w:ascii="Century" w:hAnsi="Century"/>
          <w:iCs/>
        </w:rPr>
        <w:t xml:space="preserve"> bonificación del 100 por cien</w:t>
      </w:r>
      <w:r w:rsidRPr="002C13F3">
        <w:rPr>
          <w:rFonts w:ascii="Century" w:hAnsi="Century"/>
          <w:iCs/>
        </w:rPr>
        <w:t xml:space="preserve"> de la cuota tributaria</w:t>
      </w:r>
      <w:r w:rsidRPr="00EC29FC">
        <w:rPr>
          <w:rFonts w:asciiTheme="minorHAnsi" w:hAnsiTheme="minorHAnsi" w:cstheme="minorHAnsi"/>
          <w:iCs/>
        </w:rPr>
        <w:t>;</w:t>
      </w:r>
      <w:r w:rsidRPr="002C13F3">
        <w:rPr>
          <w:rFonts w:ascii="Century" w:hAnsi="Century"/>
          <w:iCs/>
        </w:rPr>
        <w:t xml:space="preserve"> si es igual o superior a 175.000 euros e inferior a 225.000 euros, una bonificación del 95 por ciento</w:t>
      </w:r>
      <w:r w:rsidRPr="00EC29FC">
        <w:rPr>
          <w:rFonts w:asciiTheme="minorHAnsi" w:hAnsiTheme="minorHAnsi" w:cstheme="minorHAnsi"/>
          <w:iCs/>
        </w:rPr>
        <w:t>;</w:t>
      </w:r>
      <w:r w:rsidRPr="002C13F3">
        <w:rPr>
          <w:rFonts w:ascii="Century" w:hAnsi="Century"/>
          <w:iCs/>
        </w:rPr>
        <w:t xml:space="preserve"> si es igual o superior a 225.000 euros e inferior a 275.000 euros, del 90 por ciento</w:t>
      </w:r>
      <w:r w:rsidRPr="00EC29FC">
        <w:rPr>
          <w:rFonts w:asciiTheme="minorHAnsi" w:hAnsiTheme="minorHAnsi" w:cstheme="minorHAnsi"/>
          <w:iCs/>
        </w:rPr>
        <w:t>;</w:t>
      </w:r>
      <w:r w:rsidRPr="002C13F3">
        <w:rPr>
          <w:rFonts w:ascii="Century" w:hAnsi="Century"/>
          <w:iCs/>
        </w:rPr>
        <w:t xml:space="preserve"> si es igual o superior a 275.000 euros e inferior a 300.000 euros, del 85 por ciento</w:t>
      </w:r>
      <w:r w:rsidRPr="00EC29FC">
        <w:rPr>
          <w:rFonts w:asciiTheme="minorHAnsi" w:hAnsiTheme="minorHAnsi" w:cstheme="minorHAnsi"/>
          <w:iCs/>
        </w:rPr>
        <w:t>;</w:t>
      </w:r>
      <w:r w:rsidRPr="002C13F3">
        <w:rPr>
          <w:rFonts w:ascii="Century" w:hAnsi="Century"/>
          <w:iCs/>
        </w:rPr>
        <w:t xml:space="preserve"> y si es igual o superior a 300.000 euros, del 80 por ciento de la cuota tributaria.</w:t>
      </w:r>
      <w:r w:rsidRPr="002C13F3">
        <w:rPr>
          <w:rFonts w:ascii="Century" w:hAnsi="Century"/>
        </w:rPr>
        <w:t xml:space="preserve"> Los sujetos pasivos con un grado de discapacidad igual o superior al 65 por ciento podrán aplicarse una bonificación del 95 por ciento de la cuota tributaria.</w:t>
      </w:r>
    </w:p>
    <w:p w:rsidR="00D54E3E" w:rsidRPr="002C13F3" w:rsidRDefault="00725D00" w:rsidP="002D11BC">
      <w:pPr>
        <w:pStyle w:val="NormalWeb"/>
        <w:spacing w:before="0" w:beforeAutospacing="0" w:after="240" w:afterAutospacing="0" w:line="360" w:lineRule="auto"/>
        <w:jc w:val="both"/>
        <w:rPr>
          <w:rFonts w:ascii="Century" w:hAnsi="Century"/>
        </w:rPr>
      </w:pPr>
      <w:r>
        <w:rPr>
          <w:rFonts w:ascii="Century" w:hAnsi="Century"/>
        </w:rPr>
        <w:tab/>
        <w:t>En Cantabria, se establece</w:t>
      </w:r>
      <w:r w:rsidR="00D54E3E" w:rsidRPr="002C13F3">
        <w:rPr>
          <w:rFonts w:ascii="Century" w:hAnsi="Century"/>
        </w:rPr>
        <w:t xml:space="preserve"> una bonificación del 99 por ciento. </w:t>
      </w:r>
      <w:r>
        <w:rPr>
          <w:rFonts w:ascii="Century" w:hAnsi="Century"/>
        </w:rPr>
        <w:t>Además e</w:t>
      </w:r>
      <w:r w:rsidR="00D54E3E" w:rsidRPr="002C13F3">
        <w:rPr>
          <w:rFonts w:ascii="Century" w:hAnsi="Century"/>
        </w:rPr>
        <w:t>l sujeto pasivo gravado por este impuesto tendrá d</w:t>
      </w:r>
      <w:r>
        <w:rPr>
          <w:rFonts w:ascii="Century" w:hAnsi="Century"/>
        </w:rPr>
        <w:t>erecho a deducirse la tasa por v</w:t>
      </w:r>
      <w:r w:rsidR="00D54E3E" w:rsidRPr="002C13F3">
        <w:rPr>
          <w:rFonts w:ascii="Century" w:hAnsi="Century"/>
        </w:rPr>
        <w:t>aloración previa de inmuebles objeto de adquisición</w:t>
      </w:r>
      <w:r>
        <w:rPr>
          <w:rFonts w:ascii="Century" w:hAnsi="Century"/>
        </w:rPr>
        <w:t>,</w:t>
      </w:r>
      <w:r w:rsidR="00D54E3E" w:rsidRPr="002C13F3">
        <w:rPr>
          <w:rFonts w:ascii="Century" w:hAnsi="Century"/>
        </w:rPr>
        <w:t xml:space="preserve"> en los casos en que adquiera bienes valorados por el perito de la Administración. En Cataluña,</w:t>
      </w:r>
      <w:r>
        <w:rPr>
          <w:rFonts w:ascii="Century" w:hAnsi="Century"/>
        </w:rPr>
        <w:t xml:space="preserve"> también</w:t>
      </w:r>
      <w:r w:rsidR="00D54E3E" w:rsidRPr="002C13F3">
        <w:rPr>
          <w:rFonts w:ascii="Century" w:hAnsi="Century"/>
        </w:rPr>
        <w:t xml:space="preserve"> se establece una bonificación del 99 por ciento para el cónyuge. Para los descendientes o adoptados y ascendientes o adoptantes, se aplicará una bonificación en el porcentaje medio ponderado que resulte de la aplicación para cada tramo de base imponible de los porcentajes </w:t>
      </w:r>
      <w:r w:rsidR="00D54E3E" w:rsidRPr="002C13F3">
        <w:rPr>
          <w:rFonts w:ascii="Century" w:hAnsi="Century"/>
        </w:rPr>
        <w:lastRenderedPageBreak/>
        <w:t xml:space="preserve">comprendidos entre el 57,37 y el 99 por ciento. Estos porcentajes se reducen a la mitad, en caso de que el contribuyente opte por aplicar otras reducciones y exenciones, excepto la reducción por vivienda habitual. </w:t>
      </w:r>
    </w:p>
    <w:p w:rsidR="00725D00" w:rsidRDefault="00D54E3E" w:rsidP="002D11BC">
      <w:pPr>
        <w:pStyle w:val="NormalWeb"/>
        <w:spacing w:before="0" w:beforeAutospacing="0" w:after="240" w:afterAutospacing="0" w:line="360" w:lineRule="auto"/>
        <w:jc w:val="both"/>
        <w:rPr>
          <w:rFonts w:ascii="Century" w:hAnsi="Century"/>
        </w:rPr>
      </w:pPr>
      <w:r w:rsidRPr="002C13F3">
        <w:rPr>
          <w:rFonts w:ascii="Century" w:hAnsi="Century"/>
        </w:rPr>
        <w:tab/>
        <w:t xml:space="preserve">En Galicia, no se </w:t>
      </w:r>
      <w:r w:rsidR="00725D00">
        <w:rPr>
          <w:rFonts w:ascii="Century" w:hAnsi="Century"/>
        </w:rPr>
        <w:t>contemplan bonificaciones</w:t>
      </w:r>
      <w:r w:rsidRPr="002C13F3">
        <w:rPr>
          <w:rFonts w:ascii="Century" w:hAnsi="Century"/>
        </w:rPr>
        <w:t>,</w:t>
      </w:r>
      <w:r w:rsidR="00725D00">
        <w:rPr>
          <w:rFonts w:ascii="Century" w:hAnsi="Century"/>
        </w:rPr>
        <w:t xml:space="preserve"> pero sí</w:t>
      </w:r>
      <w:r w:rsidRPr="002C13F3">
        <w:rPr>
          <w:rFonts w:ascii="Century" w:hAnsi="Century"/>
        </w:rPr>
        <w:t xml:space="preserve"> una deducción del 99 por ciento del importe de la cuota. En La Rioja, se establecerá</w:t>
      </w:r>
      <w:r w:rsidR="00725D00">
        <w:rPr>
          <w:rFonts w:ascii="Century" w:hAnsi="Century"/>
        </w:rPr>
        <w:t xml:space="preserve"> también</w:t>
      </w:r>
      <w:r w:rsidRPr="002C13F3">
        <w:rPr>
          <w:rFonts w:ascii="Century" w:hAnsi="Century"/>
        </w:rPr>
        <w:t xml:space="preserve"> una deducción del 99 por ciento</w:t>
      </w:r>
      <w:r w:rsidR="00725D00">
        <w:rPr>
          <w:rFonts w:ascii="Century" w:hAnsi="Century"/>
        </w:rPr>
        <w:t>, pero</w:t>
      </w:r>
      <w:r w:rsidRPr="002C13F3">
        <w:rPr>
          <w:rFonts w:ascii="Century" w:hAnsi="Century"/>
        </w:rPr>
        <w:t xml:space="preserve"> si la base liquidable es inferior o igual a 500.000 euros. </w:t>
      </w:r>
      <w:r w:rsidRPr="002C13F3">
        <w:rPr>
          <w:rFonts w:ascii="Century" w:hAnsi="Century" w:cs="HelveticaNeueLT55Roman"/>
        </w:rPr>
        <w:t xml:space="preserve">La deducción será del 98 por ciento para las bases liquidables que superen los 500.000 euros. </w:t>
      </w:r>
      <w:r w:rsidRPr="002C13F3">
        <w:rPr>
          <w:rFonts w:ascii="Century" w:hAnsi="Century"/>
        </w:rPr>
        <w:t xml:space="preserve">En Madrid, se </w:t>
      </w:r>
      <w:r w:rsidR="00725D00">
        <w:rPr>
          <w:rFonts w:ascii="Century" w:hAnsi="Century"/>
        </w:rPr>
        <w:t>prevé también la</w:t>
      </w:r>
      <w:r w:rsidRPr="002C13F3">
        <w:rPr>
          <w:rFonts w:ascii="Century" w:hAnsi="Century"/>
        </w:rPr>
        <w:t xml:space="preserve"> b</w:t>
      </w:r>
      <w:r w:rsidR="00725D00">
        <w:rPr>
          <w:rFonts w:ascii="Century" w:hAnsi="Century"/>
        </w:rPr>
        <w:t>onificación del 99 por ciento de</w:t>
      </w:r>
      <w:r w:rsidRPr="002C13F3">
        <w:rPr>
          <w:rFonts w:ascii="Century" w:hAnsi="Century"/>
        </w:rPr>
        <w:t xml:space="preserve"> la cuota tributaria. </w:t>
      </w:r>
    </w:p>
    <w:p w:rsidR="00D54E3E" w:rsidRPr="00A579DF" w:rsidRDefault="00725D00" w:rsidP="002D11BC">
      <w:pPr>
        <w:pStyle w:val="NormalWeb"/>
        <w:spacing w:before="0" w:beforeAutospacing="0" w:after="240" w:afterAutospacing="0" w:line="360" w:lineRule="auto"/>
        <w:jc w:val="both"/>
        <w:rPr>
          <w:rFonts w:ascii="Century" w:hAnsi="Century"/>
        </w:rPr>
      </w:pPr>
      <w:r>
        <w:rPr>
          <w:rFonts w:ascii="Century" w:hAnsi="Century"/>
        </w:rPr>
        <w:tab/>
      </w:r>
      <w:r w:rsidR="00D54E3E" w:rsidRPr="002C13F3">
        <w:rPr>
          <w:rFonts w:ascii="Century" w:hAnsi="Century"/>
        </w:rPr>
        <w:t>En Murcia, se aplicarán las siguientes deducciones</w:t>
      </w:r>
      <w:r w:rsidR="00D54E3E" w:rsidRPr="00514069">
        <w:rPr>
          <w:rFonts w:asciiTheme="minorHAnsi" w:hAnsiTheme="minorHAnsi" w:cstheme="minorHAnsi"/>
        </w:rPr>
        <w:t>:</w:t>
      </w:r>
      <w:r w:rsidR="00D54E3E" w:rsidRPr="002C13F3">
        <w:rPr>
          <w:rFonts w:ascii="Century" w:hAnsi="Century"/>
        </w:rPr>
        <w:t xml:space="preserve"> para los descendientes o adoptados menores de veintiún años, una deducción del 99 por ciento, y </w:t>
      </w:r>
      <w:r>
        <w:rPr>
          <w:rFonts w:ascii="Century" w:hAnsi="Century"/>
        </w:rPr>
        <w:t>para</w:t>
      </w:r>
      <w:r w:rsidR="00710F69">
        <w:rPr>
          <w:rFonts w:ascii="Century" w:hAnsi="Century"/>
        </w:rPr>
        <w:t xml:space="preserve"> los descendientes o</w:t>
      </w:r>
      <w:r w:rsidR="00D54E3E" w:rsidRPr="002C13F3">
        <w:rPr>
          <w:rFonts w:ascii="Century" w:hAnsi="Century"/>
        </w:rPr>
        <w:t xml:space="preserve"> adoptados de veintiuno o má</w:t>
      </w:r>
      <w:r w:rsidR="00710F69">
        <w:rPr>
          <w:rFonts w:ascii="Century" w:hAnsi="Century"/>
        </w:rPr>
        <w:t>s años, cónyuges y ascendientes o</w:t>
      </w:r>
      <w:r w:rsidR="00D54E3E" w:rsidRPr="002C13F3">
        <w:rPr>
          <w:rFonts w:ascii="Century" w:hAnsi="Century"/>
        </w:rPr>
        <w:t xml:space="preserve"> adoptantes</w:t>
      </w:r>
      <w:r w:rsidR="00710F69">
        <w:rPr>
          <w:rFonts w:ascii="Century" w:hAnsi="Century"/>
        </w:rPr>
        <w:t>,</w:t>
      </w:r>
      <w:r w:rsidR="00D54E3E" w:rsidRPr="002C13F3">
        <w:rPr>
          <w:rFonts w:ascii="Century" w:hAnsi="Century"/>
        </w:rPr>
        <w:t xml:space="preserve"> una deducción del 60 por ciento. No obstante, esta deducción será del 99 por ciento en el caso de </w:t>
      </w:r>
      <w:r w:rsidR="00D54E3E" w:rsidRPr="002C13F3">
        <w:rPr>
          <w:rStyle w:val="nfasis"/>
          <w:rFonts w:ascii="Century" w:hAnsi="Century"/>
          <w:i w:val="0"/>
        </w:rPr>
        <w:t>sujetos pasivos integrantes de una familia numerosa de categoría especial, siempre y cuando el causante sea miembro integrante de dicha familia.</w:t>
      </w:r>
      <w:r w:rsidR="00D54E3E" w:rsidRPr="002C13F3">
        <w:rPr>
          <w:rFonts w:ascii="Century" w:hAnsi="Century"/>
          <w:i/>
        </w:rPr>
        <w:t xml:space="preserve"> </w:t>
      </w:r>
    </w:p>
    <w:p w:rsidR="00D54E3E" w:rsidRDefault="00D54E3E" w:rsidP="002D11BC">
      <w:pPr>
        <w:pStyle w:val="NormalWeb"/>
        <w:spacing w:before="0" w:beforeAutospacing="0" w:after="240" w:afterAutospacing="0" w:line="360" w:lineRule="auto"/>
        <w:jc w:val="both"/>
        <w:rPr>
          <w:rStyle w:val="nfasis"/>
          <w:rFonts w:ascii="Century" w:hAnsi="Century"/>
          <w:i w:val="0"/>
        </w:rPr>
      </w:pPr>
      <w:r w:rsidRPr="002C13F3">
        <w:rPr>
          <w:rFonts w:ascii="Century" w:hAnsi="Century"/>
          <w:color w:val="000000"/>
          <w:sz w:val="20"/>
          <w:szCs w:val="20"/>
        </w:rPr>
        <w:tab/>
      </w:r>
      <w:r w:rsidRPr="002C13F3">
        <w:rPr>
          <w:rFonts w:ascii="Century" w:hAnsi="Century"/>
          <w:color w:val="000000"/>
        </w:rPr>
        <w:t xml:space="preserve">En Valencia, se aplicará una bonificación del 75 por ciento para descendientes o adoptados menores de veintiún años, del 50 por ciento para </w:t>
      </w:r>
      <w:r w:rsidR="00710F69">
        <w:rPr>
          <w:rFonts w:ascii="Century" w:hAnsi="Century"/>
        </w:rPr>
        <w:t>descendientes o</w:t>
      </w:r>
      <w:r w:rsidRPr="002C13F3">
        <w:rPr>
          <w:rFonts w:ascii="Century" w:hAnsi="Century"/>
        </w:rPr>
        <w:t xml:space="preserve"> adoptados de veintiuno o má</w:t>
      </w:r>
      <w:r w:rsidR="00710F69">
        <w:rPr>
          <w:rFonts w:ascii="Century" w:hAnsi="Century"/>
        </w:rPr>
        <w:t>s años, cónyuges, ascendientes o</w:t>
      </w:r>
      <w:r w:rsidRPr="002C13F3">
        <w:rPr>
          <w:rFonts w:ascii="Century" w:hAnsi="Century"/>
        </w:rPr>
        <w:t xml:space="preserve"> adoptantes, y del 75 por ciento </w:t>
      </w:r>
      <w:r w:rsidRPr="002C13F3">
        <w:rPr>
          <w:rStyle w:val="nfasis"/>
          <w:rFonts w:ascii="Century" w:hAnsi="Century"/>
          <w:i w:val="0"/>
        </w:rPr>
        <w:t xml:space="preserve">para discapacitados físicos o sensoriales con un grado de minusvalía igual o superior al 65 por ciento o discapacitados psíquicos con un grado de minusvalía igual o superior al 33 por ciento. </w:t>
      </w:r>
    </w:p>
    <w:p w:rsidR="00D54E3E" w:rsidRPr="00FA4CB5" w:rsidRDefault="00725D00" w:rsidP="002D11BC">
      <w:pPr>
        <w:pStyle w:val="NormalWeb"/>
        <w:spacing w:before="0" w:beforeAutospacing="0" w:after="240" w:afterAutospacing="0" w:line="360" w:lineRule="auto"/>
        <w:jc w:val="both"/>
        <w:rPr>
          <w:rFonts w:ascii="Century" w:hAnsi="Century"/>
        </w:rPr>
      </w:pPr>
      <w:r>
        <w:rPr>
          <w:rStyle w:val="nfasis"/>
          <w:rFonts w:ascii="Century" w:hAnsi="Century"/>
          <w:i w:val="0"/>
        </w:rPr>
        <w:tab/>
        <w:t>Analizadas las distintas bonificaciones y deducciones autonómicas previstas por razón del vínculo de parentesco con el causante, a favor del cónyuge y causahabientes</w:t>
      </w:r>
      <w:r w:rsidR="00710F69">
        <w:rPr>
          <w:rStyle w:val="nfasis"/>
          <w:rFonts w:ascii="Century" w:hAnsi="Century"/>
          <w:i w:val="0"/>
        </w:rPr>
        <w:t xml:space="preserve">, </w:t>
      </w:r>
      <w:r w:rsidRPr="00725D00">
        <w:rPr>
          <w:rStyle w:val="nfasis"/>
          <w:rFonts w:ascii="Century" w:hAnsi="Century"/>
          <w:i w:val="0"/>
        </w:rPr>
        <w:t>cabe simplemente referir brevemente otro tipo de deducciones prevista en Navarra</w:t>
      </w:r>
      <w:r>
        <w:rPr>
          <w:rStyle w:val="nfasis"/>
          <w:rFonts w:ascii="Century" w:hAnsi="Century"/>
          <w:i w:val="0"/>
        </w:rPr>
        <w:t>,</w:t>
      </w:r>
      <w:r w:rsidRPr="00725D00">
        <w:rPr>
          <w:rStyle w:val="nfasis"/>
          <w:rFonts w:ascii="Century" w:hAnsi="Century"/>
          <w:i w:val="0"/>
        </w:rPr>
        <w:t xml:space="preserve"> e</w:t>
      </w:r>
      <w:r w:rsidR="00D54E3E" w:rsidRPr="00725D00">
        <w:rPr>
          <w:rFonts w:ascii="Century" w:hAnsi="Century"/>
        </w:rPr>
        <w:t>n las tres provincia</w:t>
      </w:r>
      <w:r w:rsidR="00710F69">
        <w:rPr>
          <w:rFonts w:ascii="Century" w:hAnsi="Century"/>
        </w:rPr>
        <w:t>s del País Vasco y en el Estado</w:t>
      </w:r>
      <w:r w:rsidR="00710F69">
        <w:rPr>
          <w:rFonts w:asciiTheme="minorHAnsi" w:hAnsiTheme="minorHAnsi" w:cstheme="minorHAnsi"/>
        </w:rPr>
        <w:t>:</w:t>
      </w:r>
      <w:r w:rsidR="00D54E3E" w:rsidRPr="00725D00">
        <w:rPr>
          <w:rFonts w:ascii="Century" w:hAnsi="Century"/>
        </w:rPr>
        <w:t xml:space="preserve"> </w:t>
      </w:r>
      <w:r>
        <w:rPr>
          <w:rFonts w:ascii="Century" w:hAnsi="Century"/>
        </w:rPr>
        <w:t>la</w:t>
      </w:r>
      <w:r w:rsidR="00710F69">
        <w:rPr>
          <w:rFonts w:ascii="Century" w:hAnsi="Century"/>
        </w:rPr>
        <w:t xml:space="preserve"> citada</w:t>
      </w:r>
      <w:r w:rsidR="00D54E3E" w:rsidRPr="002C13F3">
        <w:rPr>
          <w:rFonts w:ascii="Century" w:hAnsi="Century"/>
        </w:rPr>
        <w:t xml:space="preserve"> deducción por doble imposición.</w:t>
      </w:r>
      <w:r>
        <w:rPr>
          <w:rFonts w:ascii="Century" w:hAnsi="Century"/>
        </w:rPr>
        <w:t xml:space="preserve"> </w:t>
      </w:r>
      <w:r w:rsidR="00D54E3E" w:rsidRPr="002C13F3">
        <w:rPr>
          <w:rFonts w:ascii="Century" w:hAnsi="Century"/>
        </w:rPr>
        <w:t xml:space="preserve">No obstante, en el Estado, se aplicará una bonificación del 50 por ciento de la cuota, siempre que el causante hubiera tenido su residencia habitual a la fecha del devengo en Ceuta o Melilla y durante los cinco años anteriores que finalicen el día </w:t>
      </w:r>
      <w:r w:rsidR="00D54E3E" w:rsidRPr="002C13F3">
        <w:rPr>
          <w:rFonts w:ascii="Century" w:hAnsi="Century"/>
        </w:rPr>
        <w:lastRenderedPageBreak/>
        <w:t xml:space="preserve">anterior al del devengo. No obstante, se elevará al 99 por ciento para el cónyuge, descendientes o adoptados y </w:t>
      </w:r>
      <w:r w:rsidR="00D54E3E" w:rsidRPr="00FA4CB5">
        <w:rPr>
          <w:rFonts w:ascii="Century" w:hAnsi="Century"/>
        </w:rPr>
        <w:t>ascendientes o adoptantes.</w:t>
      </w:r>
    </w:p>
    <w:p w:rsidR="003126CE" w:rsidRPr="002C13F3" w:rsidRDefault="00084AE7" w:rsidP="002D11BC">
      <w:pPr>
        <w:spacing w:after="240" w:line="360" w:lineRule="auto"/>
        <w:jc w:val="both"/>
        <w:rPr>
          <w:rFonts w:ascii="Century" w:hAnsi="Century"/>
          <w:color w:val="FF0000"/>
          <w:sz w:val="24"/>
          <w:szCs w:val="24"/>
        </w:rPr>
      </w:pPr>
      <w:r w:rsidRPr="00FA4CB5">
        <w:rPr>
          <w:rFonts w:ascii="Century" w:hAnsi="Century"/>
          <w:sz w:val="24"/>
          <w:szCs w:val="24"/>
        </w:rPr>
        <w:tab/>
      </w:r>
      <w:r w:rsidR="00FA4CB5" w:rsidRPr="00FA4CB5">
        <w:rPr>
          <w:rFonts w:ascii="Century" w:hAnsi="Century"/>
          <w:sz w:val="24"/>
          <w:szCs w:val="24"/>
        </w:rPr>
        <w:t>Pues bien, de</w:t>
      </w:r>
      <w:r w:rsidR="00FA4CB5">
        <w:rPr>
          <w:rFonts w:ascii="Century" w:hAnsi="Century"/>
          <w:sz w:val="24"/>
          <w:szCs w:val="24"/>
        </w:rPr>
        <w:t xml:space="preserve"> las tablas expuestas y de toda la información referida,</w:t>
      </w:r>
      <w:r w:rsidRPr="00FA4CB5">
        <w:rPr>
          <w:rFonts w:ascii="Century" w:hAnsi="Century"/>
          <w:sz w:val="24"/>
          <w:szCs w:val="24"/>
        </w:rPr>
        <w:t xml:space="preserve"> podemos obtener una serie de conclusiones.</w:t>
      </w:r>
      <w:r w:rsidR="00DF5A87" w:rsidRPr="00FA4CB5">
        <w:rPr>
          <w:rFonts w:ascii="Century" w:hAnsi="Century"/>
          <w:sz w:val="24"/>
          <w:szCs w:val="24"/>
        </w:rPr>
        <w:t xml:space="preserve"> </w:t>
      </w:r>
      <w:r w:rsidR="00F0645D">
        <w:rPr>
          <w:rFonts w:ascii="Century" w:hAnsi="Century"/>
          <w:sz w:val="24"/>
          <w:szCs w:val="24"/>
        </w:rPr>
        <w:t xml:space="preserve">Debido a la cesión del ISUC por el Estado a las CCAA, éstas </w:t>
      </w:r>
      <w:r w:rsidR="00FA4CB5">
        <w:rPr>
          <w:rFonts w:ascii="Century" w:hAnsi="Century"/>
          <w:sz w:val="24"/>
          <w:szCs w:val="24"/>
        </w:rPr>
        <w:t>han visto</w:t>
      </w:r>
      <w:r w:rsidR="003126CE" w:rsidRPr="002C13F3">
        <w:rPr>
          <w:rFonts w:ascii="Century" w:hAnsi="Century"/>
          <w:sz w:val="24"/>
          <w:szCs w:val="24"/>
        </w:rPr>
        <w:t xml:space="preserve"> una auténtica oportunidad para recaudar fondos en su territorio aplicando s</w:t>
      </w:r>
      <w:r w:rsidR="00FA4CB5">
        <w:rPr>
          <w:rFonts w:ascii="Century" w:hAnsi="Century"/>
          <w:sz w:val="24"/>
          <w:szCs w:val="24"/>
        </w:rPr>
        <w:t>u propia normativa del impuesto</w:t>
      </w:r>
      <w:r w:rsidR="003126CE" w:rsidRPr="002C13F3">
        <w:rPr>
          <w:rFonts w:ascii="Century" w:hAnsi="Century"/>
          <w:sz w:val="24"/>
          <w:szCs w:val="24"/>
        </w:rPr>
        <w:t>. Esto ha provocado claras diferencias en el ejercicio d</w:t>
      </w:r>
      <w:r w:rsidR="00B07A97">
        <w:rPr>
          <w:rFonts w:ascii="Century" w:hAnsi="Century"/>
          <w:sz w:val="24"/>
          <w:szCs w:val="24"/>
        </w:rPr>
        <w:t>e la potestad normativa del ISUC</w:t>
      </w:r>
      <w:r w:rsidR="003126CE" w:rsidRPr="002C13F3">
        <w:rPr>
          <w:rFonts w:ascii="Century" w:hAnsi="Century"/>
          <w:sz w:val="24"/>
          <w:szCs w:val="24"/>
        </w:rPr>
        <w:t xml:space="preserve"> de cada Comunidad Autónoma, produciéndose importante</w:t>
      </w:r>
      <w:r w:rsidR="00FA4CB5">
        <w:rPr>
          <w:rFonts w:ascii="Century" w:hAnsi="Century"/>
          <w:sz w:val="24"/>
          <w:szCs w:val="24"/>
        </w:rPr>
        <w:t>s distincio</w:t>
      </w:r>
      <w:r w:rsidR="003126CE" w:rsidRPr="002C13F3">
        <w:rPr>
          <w:rFonts w:ascii="Century" w:hAnsi="Century"/>
          <w:sz w:val="24"/>
          <w:szCs w:val="24"/>
        </w:rPr>
        <w:t>n</w:t>
      </w:r>
      <w:r w:rsidR="00FA4CB5">
        <w:rPr>
          <w:rFonts w:ascii="Century" w:hAnsi="Century"/>
          <w:sz w:val="24"/>
          <w:szCs w:val="24"/>
        </w:rPr>
        <w:t>es</w:t>
      </w:r>
      <w:r w:rsidR="003126CE" w:rsidRPr="002C13F3">
        <w:rPr>
          <w:rFonts w:ascii="Century" w:hAnsi="Century"/>
          <w:sz w:val="24"/>
          <w:szCs w:val="24"/>
        </w:rPr>
        <w:t xml:space="preserve"> en la aplicación de sus propias reducciones, deducciones y bonificaciones.</w:t>
      </w:r>
      <w:r w:rsidR="00F4595C" w:rsidRPr="002C13F3">
        <w:rPr>
          <w:rFonts w:ascii="Century" w:hAnsi="Century"/>
          <w:sz w:val="24"/>
          <w:szCs w:val="24"/>
        </w:rPr>
        <w:t xml:space="preserve"> </w:t>
      </w:r>
    </w:p>
    <w:p w:rsidR="00BD6FD6" w:rsidRPr="002C13F3" w:rsidRDefault="00A854AC" w:rsidP="002D11BC">
      <w:pPr>
        <w:spacing w:after="240" w:line="360" w:lineRule="auto"/>
        <w:jc w:val="both"/>
        <w:rPr>
          <w:rFonts w:ascii="Century" w:hAnsi="Century"/>
          <w:sz w:val="24"/>
          <w:szCs w:val="24"/>
        </w:rPr>
      </w:pPr>
      <w:r w:rsidRPr="002C13F3">
        <w:rPr>
          <w:rFonts w:ascii="Century" w:hAnsi="Century"/>
          <w:color w:val="FF0000"/>
          <w:sz w:val="24"/>
          <w:szCs w:val="24"/>
        </w:rPr>
        <w:tab/>
      </w:r>
      <w:r w:rsidR="002714E6">
        <w:rPr>
          <w:rFonts w:ascii="Century" w:hAnsi="Century"/>
          <w:sz w:val="24"/>
          <w:szCs w:val="24"/>
        </w:rPr>
        <w:t xml:space="preserve">Aquellas CCAA que establecen una reducción del 100 por cien sobre algunos de los diferentes tipos de </w:t>
      </w:r>
      <w:r w:rsidR="002714E6" w:rsidRPr="0057067E">
        <w:rPr>
          <w:rFonts w:ascii="Century" w:hAnsi="Century"/>
          <w:sz w:val="24"/>
          <w:szCs w:val="24"/>
        </w:rPr>
        <w:t>reducciones</w:t>
      </w:r>
      <w:r w:rsidR="002714E6">
        <w:rPr>
          <w:rFonts w:ascii="Century" w:hAnsi="Century"/>
          <w:sz w:val="24"/>
          <w:szCs w:val="24"/>
        </w:rPr>
        <w:t xml:space="preserve"> expuestos</w:t>
      </w:r>
      <w:r w:rsidR="002714E6">
        <w:rPr>
          <w:rFonts w:ascii="Century" w:hAnsi="Century" w:cstheme="minorHAnsi"/>
          <w:sz w:val="24"/>
          <w:szCs w:val="24"/>
        </w:rPr>
        <w:t xml:space="preserve"> son lo</w:t>
      </w:r>
      <w:r w:rsidR="002714E6" w:rsidRPr="0057067E">
        <w:rPr>
          <w:rFonts w:ascii="Century" w:hAnsi="Century" w:cstheme="minorHAnsi"/>
          <w:sz w:val="24"/>
          <w:szCs w:val="24"/>
        </w:rPr>
        <w:t>s siguientes</w:t>
      </w:r>
      <w:r w:rsidR="002714E6">
        <w:rPr>
          <w:rFonts w:cstheme="minorHAnsi"/>
          <w:sz w:val="24"/>
          <w:szCs w:val="24"/>
        </w:rPr>
        <w:t>:</w:t>
      </w:r>
      <w:r w:rsidR="002714E6">
        <w:rPr>
          <w:rFonts w:ascii="Century" w:hAnsi="Century"/>
          <w:sz w:val="24"/>
          <w:szCs w:val="24"/>
        </w:rPr>
        <w:t xml:space="preserve">  Aragón </w:t>
      </w:r>
      <w:r w:rsidR="002714E6" w:rsidRPr="002C13F3">
        <w:rPr>
          <w:rFonts w:ascii="Century" w:hAnsi="Century"/>
          <w:sz w:val="24"/>
          <w:szCs w:val="24"/>
        </w:rPr>
        <w:t>y Galicia</w:t>
      </w:r>
      <w:r w:rsidR="002714E6">
        <w:rPr>
          <w:rFonts w:ascii="Century" w:hAnsi="Century"/>
          <w:sz w:val="24"/>
          <w:szCs w:val="24"/>
        </w:rPr>
        <w:t xml:space="preserve"> en</w:t>
      </w:r>
      <w:r w:rsidR="002714E6" w:rsidRPr="002C13F3">
        <w:rPr>
          <w:rFonts w:ascii="Century" w:hAnsi="Century"/>
          <w:sz w:val="24"/>
          <w:szCs w:val="24"/>
        </w:rPr>
        <w:t xml:space="preserve"> las adquisiciones por personas con discapacidad</w:t>
      </w:r>
      <w:r w:rsidR="002714E6" w:rsidRPr="00EC29FC">
        <w:rPr>
          <w:rFonts w:cstheme="minorHAnsi"/>
          <w:sz w:val="24"/>
          <w:szCs w:val="24"/>
        </w:rPr>
        <w:t>;</w:t>
      </w:r>
      <w:r w:rsidR="002714E6" w:rsidRPr="002C13F3">
        <w:rPr>
          <w:rFonts w:ascii="Century" w:hAnsi="Century"/>
          <w:sz w:val="24"/>
          <w:szCs w:val="24"/>
        </w:rPr>
        <w:t xml:space="preserve"> Ba</w:t>
      </w:r>
      <w:r w:rsidR="002714E6">
        <w:rPr>
          <w:rFonts w:ascii="Century" w:hAnsi="Century"/>
          <w:sz w:val="24"/>
          <w:szCs w:val="24"/>
        </w:rPr>
        <w:t>leares, Extremadura y Galicia en</w:t>
      </w:r>
      <w:r w:rsidR="002714E6" w:rsidRPr="002C13F3">
        <w:rPr>
          <w:rFonts w:ascii="Century" w:hAnsi="Century"/>
          <w:sz w:val="24"/>
          <w:szCs w:val="24"/>
        </w:rPr>
        <w:t xml:space="preserve"> las adquisiciones de vivienda habitual</w:t>
      </w:r>
      <w:r w:rsidR="002714E6" w:rsidRPr="00EC29FC">
        <w:rPr>
          <w:rFonts w:cstheme="minorHAnsi"/>
          <w:sz w:val="24"/>
          <w:szCs w:val="24"/>
        </w:rPr>
        <w:t>;</w:t>
      </w:r>
      <w:r w:rsidR="002714E6" w:rsidRPr="002C13F3">
        <w:rPr>
          <w:rFonts w:ascii="Century" w:hAnsi="Century"/>
          <w:sz w:val="24"/>
          <w:szCs w:val="24"/>
        </w:rPr>
        <w:t xml:space="preserve"> </w:t>
      </w:r>
      <w:r w:rsidR="002714E6">
        <w:rPr>
          <w:rFonts w:ascii="Century" w:hAnsi="Century"/>
          <w:sz w:val="24"/>
          <w:szCs w:val="24"/>
        </w:rPr>
        <w:t xml:space="preserve">Álava, Baleares, </w:t>
      </w:r>
      <w:r w:rsidR="002714E6" w:rsidRPr="002C13F3">
        <w:rPr>
          <w:rFonts w:ascii="Century" w:hAnsi="Century"/>
          <w:sz w:val="24"/>
          <w:szCs w:val="24"/>
        </w:rPr>
        <w:t>Canarias</w:t>
      </w:r>
      <w:r w:rsidR="002714E6">
        <w:rPr>
          <w:rFonts w:ascii="Century" w:hAnsi="Century"/>
          <w:sz w:val="24"/>
          <w:szCs w:val="24"/>
        </w:rPr>
        <w:t>, Cantabria,</w:t>
      </w:r>
      <w:r w:rsidR="002714E6" w:rsidRPr="002C13F3">
        <w:rPr>
          <w:rFonts w:ascii="Century" w:hAnsi="Century"/>
          <w:sz w:val="24"/>
          <w:szCs w:val="24"/>
        </w:rPr>
        <w:t xml:space="preserve"> Cataluña</w:t>
      </w:r>
      <w:r w:rsidR="002714E6">
        <w:rPr>
          <w:rFonts w:ascii="Century" w:hAnsi="Century"/>
          <w:sz w:val="24"/>
          <w:szCs w:val="24"/>
        </w:rPr>
        <w:t>, Madrid y Murcia, así como el Estado,</w:t>
      </w:r>
      <w:r w:rsidR="002714E6" w:rsidRPr="002C13F3">
        <w:rPr>
          <w:rFonts w:ascii="Century" w:hAnsi="Century"/>
          <w:sz w:val="24"/>
          <w:szCs w:val="24"/>
        </w:rPr>
        <w:t xml:space="preserve"> </w:t>
      </w:r>
      <w:r w:rsidR="002714E6">
        <w:rPr>
          <w:rFonts w:ascii="Century" w:hAnsi="Century"/>
          <w:sz w:val="24"/>
          <w:szCs w:val="24"/>
        </w:rPr>
        <w:t>en</w:t>
      </w:r>
      <w:r w:rsidR="002714E6" w:rsidRPr="002C13F3">
        <w:rPr>
          <w:rFonts w:ascii="Century" w:hAnsi="Century"/>
          <w:sz w:val="24"/>
          <w:szCs w:val="24"/>
        </w:rPr>
        <w:t xml:space="preserve"> las adquisiciones</w:t>
      </w:r>
      <w:r w:rsidR="002714E6">
        <w:rPr>
          <w:rFonts w:ascii="Century" w:hAnsi="Century"/>
          <w:sz w:val="24"/>
          <w:szCs w:val="24"/>
        </w:rPr>
        <w:t xml:space="preserve"> de</w:t>
      </w:r>
      <w:r w:rsidR="002714E6" w:rsidRPr="002C13F3">
        <w:rPr>
          <w:rFonts w:ascii="Century" w:hAnsi="Century"/>
          <w:sz w:val="24"/>
          <w:szCs w:val="24"/>
        </w:rPr>
        <w:t xml:space="preserve"> beneficiarios de seguros sobre la vida</w:t>
      </w:r>
      <w:r w:rsidR="002714E6" w:rsidRPr="00EC29FC">
        <w:rPr>
          <w:rFonts w:cstheme="minorHAnsi"/>
          <w:sz w:val="24"/>
          <w:szCs w:val="24"/>
        </w:rPr>
        <w:t>;</w:t>
      </w:r>
      <w:r w:rsidR="002714E6">
        <w:rPr>
          <w:rFonts w:ascii="Century" w:hAnsi="Century"/>
          <w:sz w:val="24"/>
          <w:szCs w:val="24"/>
        </w:rPr>
        <w:t xml:space="preserve"> Extremadura es la única que establece esta reducción en </w:t>
      </w:r>
      <w:r w:rsidR="002714E6" w:rsidRPr="002C13F3">
        <w:rPr>
          <w:rFonts w:ascii="Century" w:hAnsi="Century"/>
          <w:sz w:val="24"/>
          <w:szCs w:val="24"/>
        </w:rPr>
        <w:t>la adquisición de empresas individuales, negocios profesionales o participaciones en entidades</w:t>
      </w:r>
      <w:r w:rsidR="002714E6" w:rsidRPr="00EC29FC">
        <w:rPr>
          <w:rFonts w:cstheme="minorHAnsi"/>
          <w:sz w:val="24"/>
          <w:szCs w:val="24"/>
        </w:rPr>
        <w:t>;</w:t>
      </w:r>
      <w:r w:rsidR="002714E6">
        <w:rPr>
          <w:rFonts w:cstheme="minorHAnsi"/>
          <w:sz w:val="24"/>
          <w:szCs w:val="24"/>
        </w:rPr>
        <w:t xml:space="preserve"> </w:t>
      </w:r>
      <w:r w:rsidR="002714E6" w:rsidRPr="005F020D">
        <w:rPr>
          <w:rFonts w:ascii="Century" w:hAnsi="Century" w:cstheme="minorHAnsi"/>
          <w:sz w:val="24"/>
          <w:szCs w:val="24"/>
        </w:rPr>
        <w:t>y</w:t>
      </w:r>
      <w:r w:rsidR="002714E6" w:rsidRPr="005F020D">
        <w:rPr>
          <w:rFonts w:ascii="Century" w:hAnsi="Century"/>
          <w:sz w:val="24"/>
          <w:szCs w:val="24"/>
        </w:rPr>
        <w:t xml:space="preserve"> </w:t>
      </w:r>
      <w:r w:rsidR="002714E6" w:rsidRPr="002C13F3">
        <w:rPr>
          <w:rFonts w:ascii="Century" w:hAnsi="Century"/>
          <w:sz w:val="24"/>
          <w:szCs w:val="24"/>
        </w:rPr>
        <w:t xml:space="preserve">Extremadura y Vizcaya en las adquisiciones de explotaciones </w:t>
      </w:r>
      <w:r w:rsidR="002714E6" w:rsidRPr="005F020D">
        <w:rPr>
          <w:rFonts w:ascii="Century" w:hAnsi="Century"/>
          <w:sz w:val="24"/>
          <w:szCs w:val="24"/>
        </w:rPr>
        <w:t>agrarias</w:t>
      </w:r>
      <w:r w:rsidR="002714E6" w:rsidRPr="005F020D">
        <w:rPr>
          <w:rFonts w:ascii="Century" w:hAnsi="Century" w:cstheme="minorHAnsi"/>
          <w:sz w:val="24"/>
          <w:szCs w:val="24"/>
        </w:rPr>
        <w:t xml:space="preserve">. Si bien, </w:t>
      </w:r>
      <w:r w:rsidR="002714E6">
        <w:rPr>
          <w:rFonts w:ascii="Century" w:hAnsi="Century"/>
          <w:sz w:val="24"/>
          <w:szCs w:val="24"/>
        </w:rPr>
        <w:t>en los demás tipos de reducciones no existe ninguna Comunidad Autónoma que aplique una reducción del 100 por cien.</w:t>
      </w:r>
    </w:p>
    <w:p w:rsidR="00A854AC" w:rsidRPr="002C13F3" w:rsidRDefault="00BD6FD6" w:rsidP="002D11BC">
      <w:pPr>
        <w:spacing w:after="240" w:line="360" w:lineRule="auto"/>
        <w:jc w:val="both"/>
        <w:rPr>
          <w:rFonts w:ascii="Century" w:hAnsi="Century"/>
          <w:sz w:val="24"/>
          <w:szCs w:val="24"/>
        </w:rPr>
      </w:pPr>
      <w:r w:rsidRPr="002C13F3">
        <w:rPr>
          <w:rFonts w:ascii="Century" w:hAnsi="Century"/>
          <w:sz w:val="24"/>
          <w:szCs w:val="24"/>
        </w:rPr>
        <w:tab/>
      </w:r>
      <w:r w:rsidR="00423253" w:rsidRPr="002C13F3">
        <w:rPr>
          <w:rFonts w:ascii="Century" w:hAnsi="Century"/>
          <w:sz w:val="24"/>
          <w:szCs w:val="24"/>
        </w:rPr>
        <w:t>Por otro lado, Andalucía, Asturias y Murcia son las CCAA donde</w:t>
      </w:r>
      <w:r w:rsidR="00FA4CB5">
        <w:rPr>
          <w:rFonts w:ascii="Century" w:hAnsi="Century"/>
          <w:sz w:val="24"/>
          <w:szCs w:val="24"/>
        </w:rPr>
        <w:t xml:space="preserve"> se aplican</w:t>
      </w:r>
      <w:r w:rsidR="00423253" w:rsidRPr="002C13F3">
        <w:rPr>
          <w:rFonts w:ascii="Century" w:hAnsi="Century"/>
          <w:sz w:val="24"/>
          <w:szCs w:val="24"/>
        </w:rPr>
        <w:t xml:space="preserve"> mayores tipos de gravamen, llevando a un alto grado de tributación. En cambio, los territorios autonómicos donde se aplican los tipos más bajos son en Baleares, Galicia, Navarra y País Vasco. </w:t>
      </w:r>
      <w:r w:rsidR="008D3537">
        <w:rPr>
          <w:rFonts w:ascii="Century" w:hAnsi="Century"/>
          <w:sz w:val="24"/>
          <w:szCs w:val="24"/>
        </w:rPr>
        <w:t xml:space="preserve">No obstante, </w:t>
      </w:r>
      <w:r w:rsidR="0007779F" w:rsidRPr="002C13F3">
        <w:rPr>
          <w:rFonts w:ascii="Century" w:hAnsi="Century"/>
          <w:sz w:val="24"/>
          <w:szCs w:val="24"/>
        </w:rPr>
        <w:t>en los territorios donde más se tributa por este impuesto es en</w:t>
      </w:r>
      <w:r w:rsidR="008D3537">
        <w:rPr>
          <w:rFonts w:ascii="Century" w:hAnsi="Century"/>
          <w:sz w:val="24"/>
          <w:szCs w:val="24"/>
        </w:rPr>
        <w:t xml:space="preserve"> Asturias, Aragón y Murcia, y en donde menos en Canarias, Cantabria, Madrid y País Vasco</w:t>
      </w:r>
      <w:r w:rsidR="008D3537">
        <w:rPr>
          <w:rStyle w:val="Refdenotaalpie"/>
          <w:rFonts w:ascii="Century" w:hAnsi="Century"/>
          <w:sz w:val="24"/>
          <w:szCs w:val="24"/>
        </w:rPr>
        <w:footnoteReference w:id="58"/>
      </w:r>
      <w:r w:rsidR="008D3537">
        <w:rPr>
          <w:rFonts w:ascii="Century" w:hAnsi="Century"/>
          <w:sz w:val="24"/>
          <w:szCs w:val="24"/>
        </w:rPr>
        <w:t>.</w:t>
      </w:r>
      <w:r w:rsidR="0007779F" w:rsidRPr="002C13F3">
        <w:rPr>
          <w:rFonts w:ascii="Century" w:hAnsi="Century"/>
          <w:sz w:val="24"/>
          <w:szCs w:val="24"/>
        </w:rPr>
        <w:t xml:space="preserve"> </w:t>
      </w:r>
    </w:p>
    <w:p w:rsidR="008D3537" w:rsidRDefault="00917729" w:rsidP="002D11BC">
      <w:pPr>
        <w:spacing w:after="240" w:line="360" w:lineRule="auto"/>
        <w:jc w:val="both"/>
        <w:rPr>
          <w:rFonts w:ascii="Century" w:hAnsi="Century"/>
          <w:b/>
          <w:sz w:val="24"/>
          <w:szCs w:val="24"/>
        </w:rPr>
      </w:pPr>
      <w:r w:rsidRPr="002C13F3">
        <w:rPr>
          <w:rFonts w:ascii="Century" w:hAnsi="Century"/>
          <w:sz w:val="24"/>
          <w:szCs w:val="24"/>
        </w:rPr>
        <w:lastRenderedPageBreak/>
        <w:tab/>
        <w:t>En definitiva</w:t>
      </w:r>
      <w:r w:rsidR="003126CE" w:rsidRPr="002C13F3">
        <w:rPr>
          <w:rFonts w:ascii="Century" w:hAnsi="Century"/>
          <w:sz w:val="24"/>
          <w:szCs w:val="24"/>
        </w:rPr>
        <w:t>, la carga fiscal que puede llegar a soportar los contribuyentes</w:t>
      </w:r>
      <w:r w:rsidR="009107BD">
        <w:rPr>
          <w:rFonts w:ascii="Century" w:hAnsi="Century"/>
          <w:sz w:val="24"/>
          <w:szCs w:val="24"/>
        </w:rPr>
        <w:t>,</w:t>
      </w:r>
      <w:r w:rsidR="003126CE" w:rsidRPr="002C13F3">
        <w:rPr>
          <w:rFonts w:ascii="Century" w:hAnsi="Century"/>
          <w:sz w:val="24"/>
          <w:szCs w:val="24"/>
        </w:rPr>
        <w:t xml:space="preserve"> cuando se les aplica las normativas autonómicas</w:t>
      </w:r>
      <w:r w:rsidR="009107BD">
        <w:rPr>
          <w:rFonts w:ascii="Century" w:hAnsi="Century"/>
          <w:sz w:val="24"/>
          <w:szCs w:val="24"/>
        </w:rPr>
        <w:t>,</w:t>
      </w:r>
      <w:r w:rsidR="00786A35">
        <w:rPr>
          <w:rFonts w:ascii="Century" w:hAnsi="Century"/>
          <w:sz w:val="24"/>
          <w:szCs w:val="24"/>
        </w:rPr>
        <w:t xml:space="preserve"> puede ser</w:t>
      </w:r>
      <w:r w:rsidR="003126CE" w:rsidRPr="002C13F3">
        <w:rPr>
          <w:rFonts w:ascii="Century" w:hAnsi="Century"/>
          <w:sz w:val="24"/>
          <w:szCs w:val="24"/>
        </w:rPr>
        <w:t xml:space="preserve"> considerablemente menor a la impuesta por la legislación estatal,</w:t>
      </w:r>
      <w:r w:rsidR="00786A35">
        <w:rPr>
          <w:rFonts w:ascii="Century" w:hAnsi="Century"/>
          <w:sz w:val="24"/>
          <w:szCs w:val="24"/>
        </w:rPr>
        <w:t xml:space="preserve"> existiendo importantes diferencias de gravamen</w:t>
      </w:r>
      <w:r w:rsidR="003126CE" w:rsidRPr="002C13F3">
        <w:rPr>
          <w:rFonts w:ascii="Century" w:hAnsi="Century"/>
          <w:sz w:val="24"/>
          <w:szCs w:val="24"/>
        </w:rPr>
        <w:t xml:space="preserve"> entre contribuyentes d</w:t>
      </w:r>
      <w:r w:rsidR="00786A35">
        <w:rPr>
          <w:rFonts w:ascii="Century" w:hAnsi="Century"/>
          <w:sz w:val="24"/>
          <w:szCs w:val="24"/>
        </w:rPr>
        <w:t xml:space="preserve">e una u otra Comunidad Autónoma. </w:t>
      </w:r>
      <w:r w:rsidR="00786A35" w:rsidRPr="007672D3">
        <w:rPr>
          <w:rFonts w:ascii="Century" w:hAnsi="Century"/>
          <w:sz w:val="24"/>
          <w:szCs w:val="24"/>
        </w:rPr>
        <w:t>E</w:t>
      </w:r>
      <w:r w:rsidR="004C32B6" w:rsidRPr="007672D3">
        <w:rPr>
          <w:rFonts w:ascii="Century" w:hAnsi="Century"/>
          <w:sz w:val="24"/>
          <w:szCs w:val="24"/>
        </w:rPr>
        <w:t>sto puede derivar en competencia desleal</w:t>
      </w:r>
      <w:r w:rsidR="00786A35" w:rsidRPr="007672D3">
        <w:rPr>
          <w:rFonts w:ascii="Century" w:hAnsi="Century"/>
          <w:sz w:val="24"/>
          <w:szCs w:val="24"/>
        </w:rPr>
        <w:t xml:space="preserve"> que lleve a una deslocalización masiva con la consiguiente quiebra de ciertos principios estructurales tributarios</w:t>
      </w:r>
      <w:r w:rsidR="00786A35">
        <w:rPr>
          <w:rFonts w:ascii="Century" w:hAnsi="Century"/>
          <w:sz w:val="24"/>
          <w:szCs w:val="24"/>
        </w:rPr>
        <w:t>.</w:t>
      </w:r>
      <w:r w:rsidR="003126CE" w:rsidRPr="002C13F3">
        <w:rPr>
          <w:rFonts w:ascii="Century" w:hAnsi="Century"/>
          <w:sz w:val="24"/>
          <w:szCs w:val="24"/>
        </w:rPr>
        <w:t xml:space="preserve"> Por lo tanto, la carga fiscal puede variar entre residentes y no residentes en </w:t>
      </w:r>
      <w:r w:rsidRPr="002C13F3">
        <w:rPr>
          <w:rFonts w:ascii="Century" w:hAnsi="Century"/>
          <w:sz w:val="24"/>
          <w:szCs w:val="24"/>
        </w:rPr>
        <w:t>España</w:t>
      </w:r>
      <w:r w:rsidR="00786A35">
        <w:rPr>
          <w:rFonts w:ascii="Century" w:hAnsi="Century"/>
          <w:sz w:val="24"/>
          <w:szCs w:val="24"/>
        </w:rPr>
        <w:t>,</w:t>
      </w:r>
      <w:r w:rsidRPr="002C13F3">
        <w:rPr>
          <w:rFonts w:ascii="Century" w:hAnsi="Century"/>
          <w:sz w:val="24"/>
          <w:szCs w:val="24"/>
        </w:rPr>
        <w:t xml:space="preserve"> </w:t>
      </w:r>
      <w:r w:rsidR="003126CE" w:rsidRPr="002C13F3">
        <w:rPr>
          <w:rFonts w:ascii="Century" w:hAnsi="Century"/>
          <w:sz w:val="24"/>
          <w:szCs w:val="24"/>
        </w:rPr>
        <w:t>y en</w:t>
      </w:r>
      <w:r w:rsidRPr="002C13F3">
        <w:rPr>
          <w:rFonts w:ascii="Century" w:hAnsi="Century"/>
          <w:sz w:val="24"/>
          <w:szCs w:val="24"/>
        </w:rPr>
        <w:t xml:space="preserve">tre </w:t>
      </w:r>
      <w:r w:rsidR="00786A35">
        <w:rPr>
          <w:rFonts w:ascii="Century" w:hAnsi="Century"/>
          <w:sz w:val="24"/>
          <w:szCs w:val="24"/>
        </w:rPr>
        <w:t>residentes y no residentes en una</w:t>
      </w:r>
      <w:r w:rsidR="003126CE" w:rsidRPr="002C13F3">
        <w:rPr>
          <w:rFonts w:ascii="Century" w:hAnsi="Century"/>
          <w:sz w:val="24"/>
          <w:szCs w:val="24"/>
        </w:rPr>
        <w:t xml:space="preserve"> C</w:t>
      </w:r>
      <w:r w:rsidR="00CE3A1F">
        <w:rPr>
          <w:rFonts w:ascii="Century" w:hAnsi="Century"/>
          <w:sz w:val="24"/>
          <w:szCs w:val="24"/>
        </w:rPr>
        <w:t>omunidad Autónoma</w:t>
      </w:r>
      <w:r w:rsidR="003126CE" w:rsidRPr="002C13F3">
        <w:rPr>
          <w:rFonts w:ascii="Century" w:hAnsi="Century"/>
          <w:sz w:val="24"/>
          <w:szCs w:val="24"/>
        </w:rPr>
        <w:t>, provocando diferencias de trato entre los mismos. Esto es debido, en parte, al establecimiento de beneficios fiscales a favor de los residentes en su territorio por parte de las mismas</w:t>
      </w:r>
      <w:r w:rsidR="00786A35">
        <w:rPr>
          <w:rFonts w:ascii="Century" w:hAnsi="Century"/>
          <w:sz w:val="24"/>
          <w:szCs w:val="24"/>
        </w:rPr>
        <w:t>,</w:t>
      </w:r>
      <w:r w:rsidR="003126CE" w:rsidRPr="002C13F3">
        <w:rPr>
          <w:rFonts w:ascii="Century" w:hAnsi="Century"/>
          <w:sz w:val="24"/>
          <w:szCs w:val="24"/>
        </w:rPr>
        <w:t xml:space="preserve"> que tienen como resultado que los no residentes no puedan gozar de dichas bonificaciones y reducciones autonómicas, incluso aún estando en una situación comparable y poseer la misma capacidad económica, debido solamente al</w:t>
      </w:r>
      <w:r w:rsidR="00770622" w:rsidRPr="002C13F3">
        <w:rPr>
          <w:rFonts w:ascii="Century" w:hAnsi="Century"/>
          <w:sz w:val="24"/>
          <w:szCs w:val="24"/>
        </w:rPr>
        <w:t xml:space="preserve"> lugar</w:t>
      </w:r>
      <w:r w:rsidR="003126CE" w:rsidRPr="002C13F3">
        <w:rPr>
          <w:rFonts w:ascii="Century" w:hAnsi="Century"/>
          <w:sz w:val="24"/>
          <w:szCs w:val="24"/>
        </w:rPr>
        <w:t xml:space="preserve"> donde tengan su residencia. Estas diferencias de trato, aunque acor</w:t>
      </w:r>
      <w:r w:rsidR="00770622" w:rsidRPr="002C13F3">
        <w:rPr>
          <w:rFonts w:ascii="Century" w:hAnsi="Century"/>
          <w:sz w:val="24"/>
          <w:szCs w:val="24"/>
        </w:rPr>
        <w:t>des a la previsión normativa y en e</w:t>
      </w:r>
      <w:r w:rsidR="003126CE" w:rsidRPr="002C13F3">
        <w:rPr>
          <w:rFonts w:ascii="Century" w:hAnsi="Century"/>
          <w:sz w:val="24"/>
          <w:szCs w:val="24"/>
        </w:rPr>
        <w:t>l mar</w:t>
      </w:r>
      <w:r w:rsidR="00770622" w:rsidRPr="002C13F3">
        <w:rPr>
          <w:rFonts w:ascii="Century" w:hAnsi="Century"/>
          <w:sz w:val="24"/>
          <w:szCs w:val="24"/>
        </w:rPr>
        <w:t>gen de actuación previsto para é</w:t>
      </w:r>
      <w:r w:rsidR="003126CE" w:rsidRPr="002C13F3">
        <w:rPr>
          <w:rFonts w:ascii="Century" w:hAnsi="Century"/>
          <w:sz w:val="24"/>
          <w:szCs w:val="24"/>
        </w:rPr>
        <w:t>sta, pueden generar determinados problemas jurídico-tributarios relacionados con la posible vulneración de principios constitucionales tales como el principio de igualdad,</w:t>
      </w:r>
      <w:r w:rsidR="00770622" w:rsidRPr="002C13F3">
        <w:rPr>
          <w:rFonts w:ascii="Century" w:hAnsi="Century"/>
          <w:sz w:val="24"/>
          <w:szCs w:val="24"/>
        </w:rPr>
        <w:t xml:space="preserve"> así como de principios comunitarios, como los de libre </w:t>
      </w:r>
      <w:r w:rsidR="00786A35">
        <w:rPr>
          <w:rFonts w:ascii="Century" w:hAnsi="Century"/>
          <w:sz w:val="24"/>
          <w:szCs w:val="24"/>
        </w:rPr>
        <w:t>circulación y no discriminación que pasamos a exponer.</w:t>
      </w:r>
    </w:p>
    <w:p w:rsidR="003A6BF4" w:rsidRPr="002C13F3" w:rsidRDefault="003A6BF4" w:rsidP="005B694D">
      <w:pPr>
        <w:spacing w:after="240" w:line="360" w:lineRule="auto"/>
        <w:ind w:left="709"/>
        <w:jc w:val="both"/>
        <w:rPr>
          <w:rFonts w:ascii="Century" w:hAnsi="Century"/>
          <w:b/>
          <w:sz w:val="24"/>
          <w:szCs w:val="24"/>
        </w:rPr>
      </w:pPr>
      <w:r w:rsidRPr="002C13F3">
        <w:rPr>
          <w:rFonts w:ascii="Century" w:hAnsi="Century"/>
          <w:b/>
          <w:sz w:val="24"/>
          <w:szCs w:val="24"/>
        </w:rPr>
        <w:t>3.2</w:t>
      </w:r>
      <w:r w:rsidR="003126CE" w:rsidRPr="002C13F3">
        <w:rPr>
          <w:rFonts w:ascii="Century" w:hAnsi="Century"/>
          <w:b/>
          <w:sz w:val="24"/>
          <w:szCs w:val="24"/>
        </w:rPr>
        <w:t xml:space="preserve">.3. Problemas </w:t>
      </w:r>
      <w:r w:rsidRPr="002C13F3">
        <w:rPr>
          <w:rFonts w:ascii="Century" w:hAnsi="Century"/>
          <w:b/>
          <w:sz w:val="24"/>
          <w:szCs w:val="24"/>
        </w:rPr>
        <w:t>derivados</w:t>
      </w:r>
      <w:r w:rsidR="003126CE" w:rsidRPr="002C13F3">
        <w:rPr>
          <w:rFonts w:ascii="Century" w:hAnsi="Century"/>
          <w:b/>
          <w:sz w:val="24"/>
          <w:szCs w:val="24"/>
        </w:rPr>
        <w:t xml:space="preserve"> </w:t>
      </w:r>
      <w:r w:rsidR="00786A35">
        <w:rPr>
          <w:rFonts w:ascii="Century" w:hAnsi="Century"/>
          <w:b/>
          <w:sz w:val="24"/>
          <w:szCs w:val="24"/>
        </w:rPr>
        <w:t>de las regulaciones del impuesto</w:t>
      </w:r>
      <w:r w:rsidR="00F650B0" w:rsidRPr="002C13F3">
        <w:rPr>
          <w:rFonts w:ascii="Century" w:hAnsi="Century"/>
          <w:b/>
          <w:sz w:val="24"/>
          <w:szCs w:val="24"/>
        </w:rPr>
        <w:t xml:space="preserve"> </w:t>
      </w:r>
    </w:p>
    <w:p w:rsidR="0030008A" w:rsidRPr="002C13F3" w:rsidRDefault="0030008A" w:rsidP="005B694D">
      <w:pPr>
        <w:spacing w:after="240" w:line="360" w:lineRule="auto"/>
        <w:ind w:left="1418"/>
        <w:jc w:val="both"/>
        <w:rPr>
          <w:rFonts w:ascii="Century" w:hAnsi="Century"/>
          <w:b/>
          <w:sz w:val="24"/>
          <w:szCs w:val="24"/>
        </w:rPr>
      </w:pPr>
      <w:r w:rsidRPr="002C13F3">
        <w:rPr>
          <w:rFonts w:ascii="Century" w:hAnsi="Century"/>
          <w:b/>
          <w:sz w:val="24"/>
          <w:szCs w:val="24"/>
        </w:rPr>
        <w:t>A - Problemas internos</w:t>
      </w:r>
      <w:r w:rsidRPr="00514069">
        <w:rPr>
          <w:rFonts w:cstheme="minorHAnsi"/>
          <w:b/>
          <w:sz w:val="24"/>
          <w:szCs w:val="24"/>
        </w:rPr>
        <w:t>:</w:t>
      </w:r>
      <w:r w:rsidR="008D3537">
        <w:rPr>
          <w:rFonts w:ascii="Century" w:hAnsi="Century"/>
          <w:b/>
          <w:sz w:val="24"/>
          <w:szCs w:val="24"/>
        </w:rPr>
        <w:t xml:space="preserve"> V</w:t>
      </w:r>
      <w:r w:rsidRPr="002C13F3">
        <w:rPr>
          <w:rFonts w:ascii="Century" w:hAnsi="Century"/>
          <w:b/>
          <w:sz w:val="24"/>
          <w:szCs w:val="24"/>
        </w:rPr>
        <w:t>ulner</w:t>
      </w:r>
      <w:r w:rsidR="001C0CFB">
        <w:rPr>
          <w:rFonts w:ascii="Century" w:hAnsi="Century"/>
          <w:b/>
          <w:sz w:val="24"/>
          <w:szCs w:val="24"/>
        </w:rPr>
        <w:t>ación del principio de igualdad</w:t>
      </w:r>
    </w:p>
    <w:p w:rsidR="003126CE" w:rsidRPr="002C13F3" w:rsidRDefault="003126CE" w:rsidP="002D11BC">
      <w:pPr>
        <w:spacing w:after="240" w:line="360" w:lineRule="auto"/>
        <w:jc w:val="both"/>
        <w:rPr>
          <w:rFonts w:ascii="Century" w:hAnsi="Century"/>
          <w:sz w:val="24"/>
          <w:szCs w:val="24"/>
        </w:rPr>
      </w:pPr>
      <w:r w:rsidRPr="002C13F3">
        <w:rPr>
          <w:rFonts w:ascii="Century" w:hAnsi="Century"/>
          <w:b/>
          <w:sz w:val="24"/>
          <w:szCs w:val="24"/>
        </w:rPr>
        <w:tab/>
      </w:r>
      <w:r w:rsidR="00F650B0" w:rsidRPr="002C13F3">
        <w:rPr>
          <w:rFonts w:ascii="Century" w:hAnsi="Century"/>
          <w:sz w:val="24"/>
          <w:szCs w:val="24"/>
        </w:rPr>
        <w:t>Sin lugar a duda</w:t>
      </w:r>
      <w:r w:rsidRPr="002C13F3">
        <w:rPr>
          <w:rFonts w:ascii="Century" w:hAnsi="Century"/>
          <w:sz w:val="24"/>
          <w:szCs w:val="24"/>
        </w:rPr>
        <w:t xml:space="preserve">, </w:t>
      </w:r>
      <w:r w:rsidR="00F650B0" w:rsidRPr="002C13F3">
        <w:rPr>
          <w:rFonts w:ascii="Century" w:hAnsi="Century"/>
          <w:sz w:val="24"/>
          <w:szCs w:val="24"/>
        </w:rPr>
        <w:t>uno de los principales problemas</w:t>
      </w:r>
      <w:r w:rsidRPr="002C13F3">
        <w:rPr>
          <w:rFonts w:ascii="Century" w:hAnsi="Century"/>
          <w:sz w:val="24"/>
          <w:szCs w:val="24"/>
        </w:rPr>
        <w:t xml:space="preserve"> en materia de</w:t>
      </w:r>
      <w:r w:rsidR="00F650B0" w:rsidRPr="002C13F3">
        <w:rPr>
          <w:rFonts w:ascii="Century" w:hAnsi="Century"/>
          <w:sz w:val="24"/>
          <w:szCs w:val="24"/>
        </w:rPr>
        <w:t xml:space="preserve"> imposición de las</w:t>
      </w:r>
      <w:r w:rsidRPr="002C13F3">
        <w:rPr>
          <w:rFonts w:ascii="Century" w:hAnsi="Century"/>
          <w:sz w:val="24"/>
          <w:szCs w:val="24"/>
        </w:rPr>
        <w:t xml:space="preserve"> sucesiones en </w:t>
      </w:r>
      <w:r w:rsidR="00F72136">
        <w:rPr>
          <w:rFonts w:ascii="Century" w:hAnsi="Century"/>
          <w:sz w:val="24"/>
          <w:szCs w:val="24"/>
        </w:rPr>
        <w:t>España</w:t>
      </w:r>
      <w:r w:rsidRPr="002C13F3">
        <w:rPr>
          <w:rFonts w:ascii="Century" w:hAnsi="Century"/>
          <w:sz w:val="24"/>
          <w:szCs w:val="24"/>
        </w:rPr>
        <w:t xml:space="preserve"> es </w:t>
      </w:r>
      <w:r w:rsidR="00F650B0" w:rsidRPr="002C13F3">
        <w:rPr>
          <w:rFonts w:ascii="Century" w:hAnsi="Century"/>
          <w:sz w:val="24"/>
          <w:szCs w:val="24"/>
        </w:rPr>
        <w:t xml:space="preserve">el generado por </w:t>
      </w:r>
      <w:r w:rsidRPr="002C13F3">
        <w:rPr>
          <w:rFonts w:ascii="Century" w:hAnsi="Century"/>
          <w:sz w:val="24"/>
          <w:szCs w:val="24"/>
        </w:rPr>
        <w:t>la desigualdad de trato que se produce en función de la residencia del sujeto pasivo</w:t>
      </w:r>
      <w:r w:rsidR="00F650B0" w:rsidRPr="002C13F3">
        <w:rPr>
          <w:rFonts w:ascii="Century" w:hAnsi="Century"/>
          <w:sz w:val="24"/>
          <w:szCs w:val="24"/>
        </w:rPr>
        <w:t>. Y ello tanto</w:t>
      </w:r>
      <w:r w:rsidRPr="002C13F3">
        <w:rPr>
          <w:rFonts w:ascii="Century" w:hAnsi="Century"/>
          <w:sz w:val="24"/>
          <w:szCs w:val="24"/>
        </w:rPr>
        <w:t xml:space="preserve"> desde la perspectiva constitucional</w:t>
      </w:r>
      <w:r w:rsidR="00F650B0" w:rsidRPr="002C13F3">
        <w:rPr>
          <w:rFonts w:ascii="Century" w:hAnsi="Century"/>
          <w:sz w:val="24"/>
          <w:szCs w:val="24"/>
        </w:rPr>
        <w:t xml:space="preserve">, como </w:t>
      </w:r>
      <w:r w:rsidRPr="002C13F3">
        <w:rPr>
          <w:rFonts w:ascii="Century" w:hAnsi="Century"/>
          <w:sz w:val="24"/>
          <w:szCs w:val="24"/>
        </w:rPr>
        <w:t>del derecho</w:t>
      </w:r>
      <w:r w:rsidR="00F650B0" w:rsidRPr="002C13F3">
        <w:rPr>
          <w:rFonts w:ascii="Century" w:hAnsi="Century"/>
          <w:sz w:val="24"/>
          <w:szCs w:val="24"/>
        </w:rPr>
        <w:t xml:space="preserve"> de la UE. Como hemos indicado,</w:t>
      </w:r>
      <w:r w:rsidRPr="002C13F3">
        <w:rPr>
          <w:rFonts w:ascii="Century" w:hAnsi="Century"/>
          <w:sz w:val="24"/>
          <w:szCs w:val="24"/>
        </w:rPr>
        <w:t xml:space="preserve"> en nuestro territorio este impuesto </w:t>
      </w:r>
      <w:r w:rsidR="00E402B3" w:rsidRPr="002C13F3">
        <w:rPr>
          <w:rFonts w:ascii="Century" w:hAnsi="Century"/>
          <w:sz w:val="24"/>
          <w:szCs w:val="24"/>
        </w:rPr>
        <w:t xml:space="preserve">permite el desarrollo de </w:t>
      </w:r>
      <w:r w:rsidRPr="002C13F3">
        <w:rPr>
          <w:rFonts w:ascii="Century" w:hAnsi="Century"/>
          <w:sz w:val="24"/>
          <w:szCs w:val="24"/>
        </w:rPr>
        <w:t>competencias normativas</w:t>
      </w:r>
      <w:r w:rsidR="00E402B3" w:rsidRPr="002C13F3">
        <w:rPr>
          <w:rFonts w:ascii="Century" w:hAnsi="Century"/>
          <w:sz w:val="24"/>
          <w:szCs w:val="24"/>
        </w:rPr>
        <w:t xml:space="preserve"> por parte</w:t>
      </w:r>
      <w:r w:rsidRPr="002C13F3">
        <w:rPr>
          <w:rFonts w:ascii="Century" w:hAnsi="Century"/>
          <w:sz w:val="24"/>
          <w:szCs w:val="24"/>
        </w:rPr>
        <w:t xml:space="preserve"> de las CCAA</w:t>
      </w:r>
      <w:r w:rsidR="00E402B3" w:rsidRPr="002C13F3">
        <w:rPr>
          <w:rFonts w:ascii="Century" w:hAnsi="Century"/>
          <w:sz w:val="24"/>
          <w:szCs w:val="24"/>
        </w:rPr>
        <w:t>,</w:t>
      </w:r>
      <w:r w:rsidRPr="002C13F3">
        <w:rPr>
          <w:rFonts w:ascii="Century" w:hAnsi="Century"/>
          <w:sz w:val="24"/>
          <w:szCs w:val="24"/>
        </w:rPr>
        <w:t xml:space="preserve"> para </w:t>
      </w:r>
      <w:r w:rsidR="00E402B3" w:rsidRPr="002C13F3">
        <w:rPr>
          <w:rFonts w:ascii="Century" w:hAnsi="Century"/>
          <w:sz w:val="24"/>
          <w:szCs w:val="24"/>
        </w:rPr>
        <w:t>sus</w:t>
      </w:r>
      <w:r w:rsidRPr="002C13F3">
        <w:rPr>
          <w:rFonts w:ascii="Century" w:hAnsi="Century"/>
          <w:sz w:val="24"/>
          <w:szCs w:val="24"/>
        </w:rPr>
        <w:t xml:space="preserve"> residentes</w:t>
      </w:r>
      <w:r w:rsidR="00E402B3" w:rsidRPr="002C13F3">
        <w:rPr>
          <w:rFonts w:ascii="Century" w:hAnsi="Century"/>
          <w:sz w:val="24"/>
          <w:szCs w:val="24"/>
        </w:rPr>
        <w:t xml:space="preserve">, no </w:t>
      </w:r>
      <w:r w:rsidRPr="002C13F3">
        <w:rPr>
          <w:rFonts w:ascii="Century" w:hAnsi="Century"/>
          <w:sz w:val="24"/>
          <w:szCs w:val="24"/>
        </w:rPr>
        <w:t>resulta</w:t>
      </w:r>
      <w:r w:rsidR="00E402B3" w:rsidRPr="002C13F3">
        <w:rPr>
          <w:rFonts w:ascii="Century" w:hAnsi="Century"/>
          <w:sz w:val="24"/>
          <w:szCs w:val="24"/>
        </w:rPr>
        <w:t>ndo</w:t>
      </w:r>
      <w:r w:rsidRPr="002C13F3">
        <w:rPr>
          <w:rFonts w:ascii="Century" w:hAnsi="Century"/>
          <w:sz w:val="24"/>
          <w:szCs w:val="24"/>
        </w:rPr>
        <w:t xml:space="preserve"> homogénea </w:t>
      </w:r>
      <w:r w:rsidR="00786A35">
        <w:rPr>
          <w:rFonts w:ascii="Century" w:hAnsi="Century"/>
          <w:sz w:val="24"/>
          <w:szCs w:val="24"/>
        </w:rPr>
        <w:t xml:space="preserve">en consecuencia </w:t>
      </w:r>
      <w:r w:rsidR="00E402B3" w:rsidRPr="002C13F3">
        <w:rPr>
          <w:rFonts w:ascii="Century" w:hAnsi="Century"/>
          <w:sz w:val="24"/>
          <w:szCs w:val="24"/>
        </w:rPr>
        <w:t xml:space="preserve">la regulación del impuesto </w:t>
      </w:r>
      <w:r w:rsidRPr="002C13F3">
        <w:rPr>
          <w:rFonts w:ascii="Century" w:hAnsi="Century"/>
          <w:sz w:val="24"/>
          <w:szCs w:val="24"/>
        </w:rPr>
        <w:t xml:space="preserve">en todo el </w:t>
      </w:r>
      <w:r w:rsidRPr="002C13F3">
        <w:rPr>
          <w:rFonts w:ascii="Century" w:hAnsi="Century"/>
          <w:sz w:val="24"/>
          <w:szCs w:val="24"/>
        </w:rPr>
        <w:lastRenderedPageBreak/>
        <w:t>territorio nacional,</w:t>
      </w:r>
      <w:r w:rsidR="00E402B3" w:rsidRPr="002C13F3">
        <w:rPr>
          <w:rFonts w:ascii="Century" w:hAnsi="Century"/>
          <w:sz w:val="24"/>
          <w:szCs w:val="24"/>
        </w:rPr>
        <w:t xml:space="preserve"> al existir importantes diferencias entre CCAA,</w:t>
      </w:r>
      <w:r w:rsidRPr="002C13F3">
        <w:rPr>
          <w:rFonts w:ascii="Century" w:hAnsi="Century"/>
          <w:sz w:val="24"/>
          <w:szCs w:val="24"/>
        </w:rPr>
        <w:t xml:space="preserve"> </w:t>
      </w:r>
      <w:r w:rsidR="00F72136">
        <w:rPr>
          <w:rFonts w:ascii="Century" w:hAnsi="Century"/>
          <w:sz w:val="24"/>
          <w:szCs w:val="24"/>
        </w:rPr>
        <w:t>y</w:t>
      </w:r>
      <w:r w:rsidR="00E402B3" w:rsidRPr="002C13F3">
        <w:rPr>
          <w:rFonts w:ascii="Century" w:hAnsi="Century"/>
          <w:sz w:val="24"/>
          <w:szCs w:val="24"/>
        </w:rPr>
        <w:t xml:space="preserve"> en</w:t>
      </w:r>
      <w:r w:rsidRPr="002C13F3">
        <w:rPr>
          <w:rFonts w:ascii="Century" w:hAnsi="Century"/>
          <w:sz w:val="24"/>
          <w:szCs w:val="24"/>
        </w:rPr>
        <w:t xml:space="preserve"> la aplicación de la normativa </w:t>
      </w:r>
      <w:r w:rsidR="00E402B3" w:rsidRPr="002C13F3">
        <w:rPr>
          <w:rFonts w:ascii="Century" w:hAnsi="Century"/>
          <w:sz w:val="24"/>
          <w:szCs w:val="24"/>
        </w:rPr>
        <w:t>entre residentes en España y no residentes.</w:t>
      </w:r>
      <w:r w:rsidRPr="002C13F3">
        <w:rPr>
          <w:rFonts w:ascii="Century" w:hAnsi="Century"/>
          <w:sz w:val="24"/>
          <w:szCs w:val="24"/>
        </w:rPr>
        <w:t xml:space="preserve"> </w:t>
      </w:r>
    </w:p>
    <w:p w:rsidR="003126CE" w:rsidRPr="002C13F3" w:rsidRDefault="009107BD" w:rsidP="002D11BC">
      <w:pPr>
        <w:spacing w:after="240" w:line="360" w:lineRule="auto"/>
        <w:jc w:val="both"/>
        <w:rPr>
          <w:rFonts w:ascii="Century" w:hAnsi="Century"/>
          <w:sz w:val="24"/>
          <w:szCs w:val="24"/>
        </w:rPr>
      </w:pPr>
      <w:r>
        <w:rPr>
          <w:rFonts w:ascii="Century" w:hAnsi="Century"/>
          <w:sz w:val="24"/>
          <w:szCs w:val="24"/>
        </w:rPr>
        <w:tab/>
      </w:r>
      <w:r w:rsidR="00906157" w:rsidRPr="002C13F3">
        <w:rPr>
          <w:rFonts w:ascii="Century" w:hAnsi="Century"/>
          <w:sz w:val="24"/>
          <w:szCs w:val="24"/>
        </w:rPr>
        <w:t>L</w:t>
      </w:r>
      <w:r w:rsidR="003126CE" w:rsidRPr="002C13F3">
        <w:rPr>
          <w:rFonts w:ascii="Century" w:hAnsi="Century"/>
          <w:sz w:val="24"/>
          <w:szCs w:val="24"/>
        </w:rPr>
        <w:t>as CCAA están sujetas</w:t>
      </w:r>
      <w:r w:rsidR="00906157" w:rsidRPr="002C13F3">
        <w:rPr>
          <w:rFonts w:ascii="Century" w:hAnsi="Century"/>
          <w:sz w:val="24"/>
          <w:szCs w:val="24"/>
        </w:rPr>
        <w:t xml:space="preserve"> a las exigencias derivadas, lógicamente</w:t>
      </w:r>
      <w:r w:rsidR="00D92848">
        <w:rPr>
          <w:rFonts w:ascii="Century" w:hAnsi="Century"/>
          <w:sz w:val="24"/>
          <w:szCs w:val="24"/>
        </w:rPr>
        <w:t>,</w:t>
      </w:r>
      <w:r w:rsidR="00906157" w:rsidRPr="002C13F3">
        <w:rPr>
          <w:rFonts w:ascii="Century" w:hAnsi="Century"/>
          <w:sz w:val="24"/>
          <w:szCs w:val="24"/>
        </w:rPr>
        <w:t xml:space="preserve"> del</w:t>
      </w:r>
      <w:r w:rsidR="003126CE" w:rsidRPr="002C13F3">
        <w:rPr>
          <w:rFonts w:ascii="Century" w:hAnsi="Century"/>
          <w:sz w:val="24"/>
          <w:szCs w:val="24"/>
        </w:rPr>
        <w:t xml:space="preserve"> texto constitucional</w:t>
      </w:r>
      <w:r w:rsidR="00906157" w:rsidRPr="002C13F3">
        <w:rPr>
          <w:rFonts w:ascii="Century" w:hAnsi="Century"/>
          <w:sz w:val="24"/>
          <w:szCs w:val="24"/>
        </w:rPr>
        <w:t xml:space="preserve">, así como de las derivadas de las leyes </w:t>
      </w:r>
      <w:r w:rsidR="003126CE" w:rsidRPr="002C13F3">
        <w:rPr>
          <w:rFonts w:ascii="Century" w:hAnsi="Century"/>
          <w:sz w:val="24"/>
          <w:szCs w:val="24"/>
        </w:rPr>
        <w:t>reguladoras de</w:t>
      </w:r>
      <w:r w:rsidR="00906157" w:rsidRPr="002C13F3">
        <w:rPr>
          <w:rFonts w:ascii="Century" w:hAnsi="Century"/>
          <w:sz w:val="24"/>
          <w:szCs w:val="24"/>
        </w:rPr>
        <w:t xml:space="preserve"> su</w:t>
      </w:r>
      <w:r w:rsidR="003126CE" w:rsidRPr="002C13F3">
        <w:rPr>
          <w:rFonts w:ascii="Century" w:hAnsi="Century"/>
          <w:sz w:val="24"/>
          <w:szCs w:val="24"/>
        </w:rPr>
        <w:t xml:space="preserve"> financiación</w:t>
      </w:r>
      <w:r w:rsidR="00906157" w:rsidRPr="002C13F3">
        <w:rPr>
          <w:rFonts w:ascii="Century" w:hAnsi="Century"/>
          <w:sz w:val="24"/>
          <w:szCs w:val="24"/>
        </w:rPr>
        <w:t>. En este sentido</w:t>
      </w:r>
      <w:r w:rsidR="003126CE" w:rsidRPr="002C13F3">
        <w:rPr>
          <w:rFonts w:ascii="Century" w:hAnsi="Century"/>
          <w:sz w:val="24"/>
          <w:szCs w:val="24"/>
        </w:rPr>
        <w:t>,</w:t>
      </w:r>
      <w:r w:rsidR="00B07A97">
        <w:rPr>
          <w:rFonts w:ascii="Century" w:hAnsi="Century"/>
          <w:sz w:val="24"/>
          <w:szCs w:val="24"/>
        </w:rPr>
        <w:t xml:space="preserve"> el ISUC</w:t>
      </w:r>
      <w:r w:rsidR="00906157" w:rsidRPr="002C13F3">
        <w:rPr>
          <w:rFonts w:ascii="Century" w:hAnsi="Century"/>
          <w:sz w:val="24"/>
          <w:szCs w:val="24"/>
        </w:rPr>
        <w:t xml:space="preserve"> no pued</w:t>
      </w:r>
      <w:r w:rsidR="003126CE" w:rsidRPr="002C13F3">
        <w:rPr>
          <w:rFonts w:ascii="Century" w:hAnsi="Century"/>
          <w:sz w:val="24"/>
          <w:szCs w:val="24"/>
        </w:rPr>
        <w:t>e</w:t>
      </w:r>
      <w:r w:rsidR="00D92848">
        <w:rPr>
          <w:rFonts w:ascii="Century" w:hAnsi="Century"/>
          <w:sz w:val="24"/>
          <w:szCs w:val="24"/>
        </w:rPr>
        <w:t xml:space="preserve"> suponer una diferencia</w:t>
      </w:r>
      <w:r w:rsidR="003126CE" w:rsidRPr="002C13F3">
        <w:rPr>
          <w:rFonts w:ascii="Century" w:hAnsi="Century"/>
          <w:sz w:val="24"/>
          <w:szCs w:val="24"/>
        </w:rPr>
        <w:t xml:space="preserve"> de trato fisca</w:t>
      </w:r>
      <w:r w:rsidR="00D92848">
        <w:rPr>
          <w:rFonts w:ascii="Century" w:hAnsi="Century"/>
          <w:sz w:val="24"/>
          <w:szCs w:val="24"/>
        </w:rPr>
        <w:t>l para los contribuyentes</w:t>
      </w:r>
      <w:r w:rsidR="00906157" w:rsidRPr="002C13F3">
        <w:rPr>
          <w:rFonts w:ascii="Century" w:hAnsi="Century"/>
          <w:sz w:val="24"/>
          <w:szCs w:val="24"/>
        </w:rPr>
        <w:t>,</w:t>
      </w:r>
      <w:r w:rsidR="00786A35">
        <w:rPr>
          <w:rFonts w:ascii="Century" w:hAnsi="Century"/>
          <w:sz w:val="24"/>
          <w:szCs w:val="24"/>
        </w:rPr>
        <w:t xml:space="preserve"> por su</w:t>
      </w:r>
      <w:r w:rsidR="003126CE" w:rsidRPr="002C13F3">
        <w:rPr>
          <w:rFonts w:ascii="Century" w:hAnsi="Century"/>
          <w:sz w:val="24"/>
          <w:szCs w:val="24"/>
        </w:rPr>
        <w:t xml:space="preserve"> desigual ubicación geográfica </w:t>
      </w:r>
      <w:r w:rsidR="00D92848">
        <w:rPr>
          <w:rFonts w:ascii="Century" w:hAnsi="Century"/>
          <w:sz w:val="24"/>
          <w:szCs w:val="24"/>
        </w:rPr>
        <w:t xml:space="preserve">dentro de nuestro </w:t>
      </w:r>
      <w:r w:rsidR="00906157" w:rsidRPr="002C13F3">
        <w:rPr>
          <w:rFonts w:ascii="Century" w:hAnsi="Century"/>
          <w:sz w:val="24"/>
          <w:szCs w:val="24"/>
        </w:rPr>
        <w:t>territorio</w:t>
      </w:r>
      <w:r w:rsidR="003126CE" w:rsidRPr="002C13F3">
        <w:rPr>
          <w:rFonts w:ascii="Century" w:hAnsi="Century"/>
          <w:sz w:val="24"/>
          <w:szCs w:val="24"/>
        </w:rPr>
        <w:t>.</w:t>
      </w:r>
      <w:r w:rsidR="000B61C2">
        <w:rPr>
          <w:rFonts w:ascii="Century" w:hAnsi="Century"/>
          <w:sz w:val="24"/>
          <w:szCs w:val="24"/>
        </w:rPr>
        <w:t xml:space="preserve"> L</w:t>
      </w:r>
      <w:r w:rsidR="003126CE" w:rsidRPr="002C13F3">
        <w:rPr>
          <w:rFonts w:ascii="Century" w:hAnsi="Century"/>
          <w:sz w:val="24"/>
          <w:szCs w:val="24"/>
        </w:rPr>
        <w:t>as CCAA deben de respetar el princi</w:t>
      </w:r>
      <w:r w:rsidR="000B61C2">
        <w:rPr>
          <w:rFonts w:ascii="Century" w:hAnsi="Century"/>
          <w:sz w:val="24"/>
          <w:szCs w:val="24"/>
        </w:rPr>
        <w:t>pio de igualdad de</w:t>
      </w:r>
      <w:r w:rsidR="003126CE" w:rsidRPr="002C13F3">
        <w:rPr>
          <w:rFonts w:ascii="Century" w:hAnsi="Century"/>
          <w:sz w:val="24"/>
          <w:szCs w:val="24"/>
        </w:rPr>
        <w:t>l art. 1.1 de la CE como uno de los valores superiores d</w:t>
      </w:r>
      <w:r w:rsidR="00786A35">
        <w:rPr>
          <w:rFonts w:ascii="Century" w:hAnsi="Century"/>
          <w:sz w:val="24"/>
          <w:szCs w:val="24"/>
        </w:rPr>
        <w:t>e nuestro ordenamiento jurídico, así como e</w:t>
      </w:r>
      <w:r w:rsidR="003126CE" w:rsidRPr="002C13F3">
        <w:rPr>
          <w:rFonts w:ascii="Century" w:hAnsi="Century"/>
          <w:sz w:val="24"/>
          <w:szCs w:val="24"/>
        </w:rPr>
        <w:t xml:space="preserve">l art. 14 </w:t>
      </w:r>
      <w:r w:rsidR="00786A35">
        <w:rPr>
          <w:rFonts w:ascii="Century" w:hAnsi="Century"/>
          <w:sz w:val="24"/>
          <w:szCs w:val="24"/>
        </w:rPr>
        <w:t xml:space="preserve">que </w:t>
      </w:r>
      <w:r w:rsidR="003126CE" w:rsidRPr="002C13F3">
        <w:rPr>
          <w:rFonts w:ascii="Century" w:hAnsi="Century"/>
          <w:sz w:val="24"/>
          <w:szCs w:val="24"/>
        </w:rPr>
        <w:t>señala que “los españoles son iguales ante la ley, sin que pueda prevalecer discriminación alguna o cualquier otra condición o circunstanc</w:t>
      </w:r>
      <w:r w:rsidR="00D92848">
        <w:rPr>
          <w:rFonts w:ascii="Century" w:hAnsi="Century"/>
          <w:sz w:val="24"/>
          <w:szCs w:val="24"/>
        </w:rPr>
        <w:t xml:space="preserve">ia personal o social”. </w:t>
      </w:r>
      <w:r w:rsidR="00786A35">
        <w:rPr>
          <w:rFonts w:ascii="Century" w:hAnsi="Century"/>
          <w:sz w:val="24"/>
          <w:szCs w:val="24"/>
        </w:rPr>
        <w:t xml:space="preserve">Este último </w:t>
      </w:r>
      <w:r w:rsidR="00D92848">
        <w:rPr>
          <w:rFonts w:ascii="Century" w:hAnsi="Century"/>
          <w:sz w:val="24"/>
          <w:szCs w:val="24"/>
        </w:rPr>
        <w:t>enlaza</w:t>
      </w:r>
      <w:r w:rsidR="00906157" w:rsidRPr="002C13F3">
        <w:rPr>
          <w:rFonts w:ascii="Century" w:hAnsi="Century"/>
          <w:sz w:val="24"/>
          <w:szCs w:val="24"/>
        </w:rPr>
        <w:t>do con el art. 31 de la CE. E</w:t>
      </w:r>
      <w:r w:rsidR="003126CE" w:rsidRPr="002C13F3">
        <w:rPr>
          <w:rFonts w:ascii="Century" w:hAnsi="Century"/>
          <w:sz w:val="24"/>
          <w:szCs w:val="24"/>
        </w:rPr>
        <w:t>l primero</w:t>
      </w:r>
      <w:r w:rsidR="00786A35">
        <w:rPr>
          <w:rFonts w:ascii="Century" w:hAnsi="Century"/>
          <w:sz w:val="24"/>
          <w:szCs w:val="24"/>
        </w:rPr>
        <w:t xml:space="preserve"> vetaría las</w:t>
      </w:r>
      <w:r w:rsidR="003126CE" w:rsidRPr="002C13F3">
        <w:rPr>
          <w:rFonts w:ascii="Century" w:hAnsi="Century"/>
          <w:sz w:val="24"/>
          <w:szCs w:val="24"/>
        </w:rPr>
        <w:t xml:space="preserve"> desigualdades</w:t>
      </w:r>
      <w:r w:rsidR="00906157" w:rsidRPr="002C13F3">
        <w:rPr>
          <w:rFonts w:ascii="Century" w:hAnsi="Century"/>
          <w:sz w:val="24"/>
          <w:szCs w:val="24"/>
        </w:rPr>
        <w:t xml:space="preserve"> ante la ley</w:t>
      </w:r>
      <w:r w:rsidR="003126CE" w:rsidRPr="002C13F3">
        <w:rPr>
          <w:rFonts w:ascii="Century" w:hAnsi="Century"/>
          <w:sz w:val="24"/>
          <w:szCs w:val="24"/>
        </w:rPr>
        <w:t xml:space="preserve"> entre contribu</w:t>
      </w:r>
      <w:r w:rsidR="00786A35">
        <w:rPr>
          <w:rFonts w:ascii="Century" w:hAnsi="Century"/>
          <w:sz w:val="24"/>
          <w:szCs w:val="24"/>
        </w:rPr>
        <w:t>yentes por razones subjetivas, e</w:t>
      </w:r>
      <w:r w:rsidR="003126CE" w:rsidRPr="002C13F3">
        <w:rPr>
          <w:rFonts w:ascii="Century" w:hAnsi="Century"/>
          <w:sz w:val="24"/>
          <w:szCs w:val="24"/>
        </w:rPr>
        <w:t>l segundo se enmarca</w:t>
      </w:r>
      <w:r w:rsidR="00786A35">
        <w:rPr>
          <w:rFonts w:ascii="Century" w:hAnsi="Century"/>
          <w:sz w:val="24"/>
          <w:szCs w:val="24"/>
        </w:rPr>
        <w:t>ría</w:t>
      </w:r>
      <w:r w:rsidR="003126CE" w:rsidRPr="002C13F3">
        <w:rPr>
          <w:rFonts w:ascii="Century" w:hAnsi="Century"/>
          <w:sz w:val="24"/>
          <w:szCs w:val="24"/>
        </w:rPr>
        <w:t xml:space="preserve"> dentro de la materia fiscal fundándose en razones objetivas referentes</w:t>
      </w:r>
      <w:r w:rsidR="00906157" w:rsidRPr="002C13F3">
        <w:rPr>
          <w:rFonts w:ascii="Century" w:hAnsi="Century"/>
          <w:sz w:val="24"/>
          <w:szCs w:val="24"/>
        </w:rPr>
        <w:t xml:space="preserve"> específicamente</w:t>
      </w:r>
      <w:r w:rsidR="003126CE" w:rsidRPr="002C13F3">
        <w:rPr>
          <w:rFonts w:ascii="Century" w:hAnsi="Century"/>
          <w:sz w:val="24"/>
          <w:szCs w:val="24"/>
        </w:rPr>
        <w:t xml:space="preserve"> a la capacidad económi</w:t>
      </w:r>
      <w:r w:rsidR="00D92848">
        <w:rPr>
          <w:rFonts w:ascii="Century" w:hAnsi="Century"/>
          <w:sz w:val="24"/>
          <w:szCs w:val="24"/>
        </w:rPr>
        <w:t xml:space="preserve">ca de los sujetos pasivos. </w:t>
      </w:r>
      <w:r w:rsidR="00786A35">
        <w:rPr>
          <w:rFonts w:ascii="Century" w:hAnsi="Century"/>
          <w:sz w:val="24"/>
          <w:szCs w:val="24"/>
        </w:rPr>
        <w:t>P</w:t>
      </w:r>
      <w:r w:rsidR="003126CE" w:rsidRPr="002C13F3">
        <w:rPr>
          <w:rFonts w:ascii="Century" w:hAnsi="Century"/>
          <w:sz w:val="24"/>
          <w:szCs w:val="24"/>
        </w:rPr>
        <w:t xml:space="preserve">uede ser que una ley tributaria incida en una desigualdad por motivos </w:t>
      </w:r>
      <w:r w:rsidR="00D92848">
        <w:rPr>
          <w:rFonts w:ascii="Century" w:hAnsi="Century"/>
          <w:sz w:val="24"/>
          <w:szCs w:val="24"/>
        </w:rPr>
        <w:t>subjetivos</w:t>
      </w:r>
      <w:r w:rsidR="00786A35">
        <w:rPr>
          <w:rFonts w:ascii="Century" w:hAnsi="Century"/>
          <w:sz w:val="24"/>
          <w:szCs w:val="24"/>
        </w:rPr>
        <w:t xml:space="preserve"> </w:t>
      </w:r>
      <w:r w:rsidR="00F72136">
        <w:rPr>
          <w:rFonts w:ascii="Century" w:hAnsi="Century"/>
          <w:sz w:val="24"/>
          <w:szCs w:val="24"/>
        </w:rPr>
        <w:t>u</w:t>
      </w:r>
      <w:r w:rsidR="00786A35">
        <w:rPr>
          <w:rFonts w:ascii="Century" w:hAnsi="Century"/>
          <w:sz w:val="24"/>
          <w:szCs w:val="24"/>
        </w:rPr>
        <w:t xml:space="preserve"> objetivos</w:t>
      </w:r>
      <w:r w:rsidR="00D92848">
        <w:rPr>
          <w:rFonts w:ascii="Century" w:hAnsi="Century"/>
          <w:sz w:val="24"/>
          <w:szCs w:val="24"/>
        </w:rPr>
        <w:t xml:space="preserve">, </w:t>
      </w:r>
      <w:r w:rsidR="003126CE" w:rsidRPr="002C13F3">
        <w:rPr>
          <w:rFonts w:ascii="Century" w:hAnsi="Century"/>
          <w:sz w:val="24"/>
          <w:szCs w:val="24"/>
        </w:rPr>
        <w:t xml:space="preserve">como venimos observando </w:t>
      </w:r>
      <w:r w:rsidR="00786A35">
        <w:rPr>
          <w:rFonts w:ascii="Century" w:hAnsi="Century"/>
          <w:sz w:val="24"/>
          <w:szCs w:val="24"/>
        </w:rPr>
        <w:t>conforme al</w:t>
      </w:r>
      <w:r w:rsidR="003126CE" w:rsidRPr="002C13F3">
        <w:rPr>
          <w:rFonts w:ascii="Century" w:hAnsi="Century"/>
          <w:sz w:val="24"/>
          <w:szCs w:val="24"/>
        </w:rPr>
        <w:t xml:space="preserve"> criterio de la residencia</w:t>
      </w:r>
      <w:r w:rsidR="003126CE" w:rsidRPr="002C13F3">
        <w:rPr>
          <w:rStyle w:val="Refdenotaalpie"/>
          <w:rFonts w:ascii="Century" w:hAnsi="Century"/>
          <w:sz w:val="24"/>
          <w:szCs w:val="24"/>
        </w:rPr>
        <w:footnoteReference w:id="59"/>
      </w:r>
      <w:r w:rsidR="003126CE" w:rsidRPr="002C13F3">
        <w:rPr>
          <w:rFonts w:ascii="Century" w:hAnsi="Century"/>
          <w:sz w:val="24"/>
          <w:szCs w:val="24"/>
        </w:rPr>
        <w:t>.</w:t>
      </w:r>
      <w:r w:rsidR="00786A35">
        <w:rPr>
          <w:rFonts w:ascii="Century" w:hAnsi="Century"/>
          <w:sz w:val="24"/>
          <w:szCs w:val="24"/>
        </w:rPr>
        <w:t xml:space="preserve"> </w:t>
      </w:r>
    </w:p>
    <w:p w:rsidR="003126CE" w:rsidRPr="002C13F3" w:rsidRDefault="00C80FEE" w:rsidP="006A5290">
      <w:pPr>
        <w:spacing w:after="240" w:line="360" w:lineRule="auto"/>
        <w:ind w:firstLine="708"/>
        <w:jc w:val="both"/>
        <w:rPr>
          <w:rFonts w:ascii="Century" w:hAnsi="Century"/>
          <w:sz w:val="24"/>
          <w:szCs w:val="24"/>
        </w:rPr>
      </w:pPr>
      <w:r w:rsidRPr="002C13F3">
        <w:rPr>
          <w:rFonts w:ascii="Century" w:hAnsi="Century"/>
          <w:sz w:val="24"/>
          <w:szCs w:val="24"/>
        </w:rPr>
        <w:t>E</w:t>
      </w:r>
      <w:r w:rsidR="003126CE" w:rsidRPr="002C13F3">
        <w:rPr>
          <w:rFonts w:ascii="Century" w:hAnsi="Century"/>
          <w:sz w:val="24"/>
          <w:szCs w:val="24"/>
        </w:rPr>
        <w:t xml:space="preserve">l </w:t>
      </w:r>
      <w:r w:rsidR="00786A35">
        <w:rPr>
          <w:rFonts w:ascii="Century" w:hAnsi="Century"/>
          <w:sz w:val="24"/>
          <w:szCs w:val="24"/>
        </w:rPr>
        <w:t xml:space="preserve">propio </w:t>
      </w:r>
      <w:r w:rsidR="003126CE" w:rsidRPr="002C13F3">
        <w:rPr>
          <w:rFonts w:ascii="Century" w:hAnsi="Century"/>
          <w:sz w:val="24"/>
          <w:szCs w:val="24"/>
        </w:rPr>
        <w:t>TC confirma la relación entre estos artículos al señalar que la igualdad ante la ley es un concepto que no se puede separar de los principios de justicia tributaria, y que además la igualdad establecida en el art. 14 de la CE se encuentra claramente integrada en el citado art. 31 de la CE, como bien establece la STC 45/1989, de 20 de febrero.</w:t>
      </w:r>
      <w:r w:rsidR="00786A35">
        <w:rPr>
          <w:rFonts w:ascii="Century" w:hAnsi="Century"/>
          <w:sz w:val="24"/>
          <w:szCs w:val="24"/>
        </w:rPr>
        <w:t xml:space="preserve"> Así, este último artículo afirma</w:t>
      </w:r>
      <w:r w:rsidRPr="002C13F3">
        <w:rPr>
          <w:rFonts w:ascii="Century" w:hAnsi="Century"/>
          <w:sz w:val="24"/>
          <w:szCs w:val="24"/>
        </w:rPr>
        <w:t xml:space="preserve"> que “t</w:t>
      </w:r>
      <w:r w:rsidR="003126CE" w:rsidRPr="002C13F3">
        <w:rPr>
          <w:rFonts w:ascii="Century" w:hAnsi="Century"/>
          <w:sz w:val="24"/>
          <w:szCs w:val="24"/>
        </w:rPr>
        <w:t>odos contribuirán al sostenimiento de los gastos públicos de acuerdo con su capacidad económica mediante un sistema tributario justo inspirado en los principios de igualdad y progresividad que, en ningún caso, tendrá alcance confiscatorio”.</w:t>
      </w:r>
      <w:r w:rsidRPr="002C13F3">
        <w:rPr>
          <w:rFonts w:ascii="Century" w:hAnsi="Century"/>
          <w:sz w:val="24"/>
          <w:szCs w:val="24"/>
        </w:rPr>
        <w:t xml:space="preserve"> Estos principios también se encuentran referidos en el art. 3 de la LGT,</w:t>
      </w:r>
      <w:r w:rsidR="003126CE" w:rsidRPr="002C13F3">
        <w:rPr>
          <w:rFonts w:ascii="Century" w:hAnsi="Century"/>
          <w:sz w:val="24"/>
          <w:szCs w:val="24"/>
        </w:rPr>
        <w:t xml:space="preserve"> establec</w:t>
      </w:r>
      <w:r w:rsidRPr="002C13F3">
        <w:rPr>
          <w:rFonts w:ascii="Century" w:hAnsi="Century"/>
          <w:sz w:val="24"/>
          <w:szCs w:val="24"/>
        </w:rPr>
        <w:t>i</w:t>
      </w:r>
      <w:r w:rsidR="003126CE" w:rsidRPr="002C13F3">
        <w:rPr>
          <w:rFonts w:ascii="Century" w:hAnsi="Century"/>
          <w:sz w:val="24"/>
          <w:szCs w:val="24"/>
        </w:rPr>
        <w:t>e</w:t>
      </w:r>
      <w:r w:rsidRPr="002C13F3">
        <w:rPr>
          <w:rFonts w:ascii="Century" w:hAnsi="Century"/>
          <w:sz w:val="24"/>
          <w:szCs w:val="24"/>
        </w:rPr>
        <w:t>ndo</w:t>
      </w:r>
      <w:r w:rsidR="003126CE" w:rsidRPr="002C13F3">
        <w:rPr>
          <w:rFonts w:ascii="Century" w:hAnsi="Century"/>
          <w:sz w:val="24"/>
          <w:szCs w:val="24"/>
        </w:rPr>
        <w:t xml:space="preserve"> que la ordenación del sistema tributario se fundamenta en los </w:t>
      </w:r>
      <w:r w:rsidRPr="002C13F3">
        <w:rPr>
          <w:rFonts w:ascii="Century" w:hAnsi="Century"/>
          <w:sz w:val="24"/>
          <w:szCs w:val="24"/>
        </w:rPr>
        <w:t>“</w:t>
      </w:r>
      <w:r w:rsidR="003126CE" w:rsidRPr="002C13F3">
        <w:rPr>
          <w:rFonts w:ascii="Century" w:hAnsi="Century"/>
          <w:sz w:val="24"/>
          <w:szCs w:val="24"/>
        </w:rPr>
        <w:t xml:space="preserve">principios de capacidad económica, justicia, generalidad, igualdad, progresividad, equitativa </w:t>
      </w:r>
      <w:r w:rsidR="003126CE" w:rsidRPr="002C13F3">
        <w:rPr>
          <w:rFonts w:ascii="Century" w:hAnsi="Century"/>
          <w:sz w:val="24"/>
          <w:szCs w:val="24"/>
        </w:rPr>
        <w:lastRenderedPageBreak/>
        <w:t xml:space="preserve">distribución de la carga tributaria y no </w:t>
      </w:r>
      <w:proofErr w:type="spellStart"/>
      <w:r w:rsidR="003126CE" w:rsidRPr="002C13F3">
        <w:rPr>
          <w:rFonts w:ascii="Century" w:hAnsi="Century"/>
          <w:sz w:val="24"/>
          <w:szCs w:val="24"/>
        </w:rPr>
        <w:t>confiscatoriedad</w:t>
      </w:r>
      <w:proofErr w:type="spellEnd"/>
      <w:r w:rsidRPr="002C13F3">
        <w:rPr>
          <w:rFonts w:ascii="Century" w:hAnsi="Century"/>
          <w:sz w:val="24"/>
          <w:szCs w:val="24"/>
        </w:rPr>
        <w:t>”. Tal y como indica el profesor PÉREZ ROYO</w:t>
      </w:r>
      <w:r w:rsidR="009107BD">
        <w:rPr>
          <w:rFonts w:ascii="Century" w:hAnsi="Century"/>
          <w:sz w:val="24"/>
          <w:szCs w:val="24"/>
        </w:rPr>
        <w:t>,</w:t>
      </w:r>
      <w:r w:rsidRPr="002C13F3">
        <w:rPr>
          <w:rFonts w:ascii="Century" w:hAnsi="Century"/>
          <w:sz w:val="24"/>
          <w:szCs w:val="24"/>
        </w:rPr>
        <w:t xml:space="preserve"> para manifestar que hay </w:t>
      </w:r>
      <w:r w:rsidR="003126CE" w:rsidRPr="002C13F3">
        <w:rPr>
          <w:rFonts w:ascii="Century" w:hAnsi="Century"/>
          <w:sz w:val="24"/>
          <w:szCs w:val="24"/>
        </w:rPr>
        <w:t>desigualdad en materia tributaria debe recurrirse a estos artículos en su conjunto</w:t>
      </w:r>
      <w:r w:rsidRPr="002C13F3">
        <w:rPr>
          <w:rFonts w:ascii="Century" w:hAnsi="Century"/>
          <w:sz w:val="24"/>
          <w:szCs w:val="24"/>
        </w:rPr>
        <w:t>. Estos principios sirven, en definitiva, para alcanzar la justicia en el plano tributario</w:t>
      </w:r>
      <w:r w:rsidR="003126CE" w:rsidRPr="002C13F3">
        <w:rPr>
          <w:rStyle w:val="Refdenotaalpie"/>
          <w:rFonts w:ascii="Century" w:hAnsi="Century"/>
          <w:sz w:val="24"/>
          <w:szCs w:val="24"/>
        </w:rPr>
        <w:footnoteReference w:id="60"/>
      </w:r>
      <w:r w:rsidR="003126CE" w:rsidRPr="002C13F3">
        <w:rPr>
          <w:rFonts w:ascii="Century" w:hAnsi="Century"/>
          <w:sz w:val="24"/>
          <w:szCs w:val="24"/>
        </w:rPr>
        <w:t>.</w:t>
      </w:r>
    </w:p>
    <w:p w:rsidR="00F72136" w:rsidRDefault="003126CE" w:rsidP="006A5290">
      <w:pPr>
        <w:spacing w:after="240" w:line="360" w:lineRule="auto"/>
        <w:ind w:firstLine="708"/>
        <w:jc w:val="both"/>
        <w:rPr>
          <w:rFonts w:ascii="Century" w:hAnsi="Century"/>
          <w:sz w:val="24"/>
          <w:szCs w:val="24"/>
        </w:rPr>
      </w:pPr>
      <w:r w:rsidRPr="002C13F3">
        <w:rPr>
          <w:rFonts w:ascii="Century" w:hAnsi="Century"/>
          <w:sz w:val="24"/>
          <w:szCs w:val="24"/>
        </w:rPr>
        <w:t>El principio de igualdad en el ámbito fiscal supone que todos los obligados tributarios que se encuentr</w:t>
      </w:r>
      <w:r w:rsidR="004C32B6" w:rsidRPr="002C13F3">
        <w:rPr>
          <w:rFonts w:ascii="Century" w:hAnsi="Century"/>
          <w:sz w:val="24"/>
          <w:szCs w:val="24"/>
        </w:rPr>
        <w:t>en ante</w:t>
      </w:r>
      <w:r w:rsidRPr="002C13F3">
        <w:rPr>
          <w:rFonts w:ascii="Century" w:hAnsi="Century"/>
          <w:sz w:val="24"/>
          <w:szCs w:val="24"/>
        </w:rPr>
        <w:t xml:space="preserve"> iguales supuestos de hecho </w:t>
      </w:r>
      <w:r w:rsidR="004C32B6" w:rsidRPr="002C13F3">
        <w:rPr>
          <w:rFonts w:ascii="Century" w:hAnsi="Century"/>
          <w:sz w:val="24"/>
          <w:szCs w:val="24"/>
        </w:rPr>
        <w:t>deben</w:t>
      </w:r>
      <w:r w:rsidRPr="002C13F3">
        <w:rPr>
          <w:rFonts w:ascii="Century" w:hAnsi="Century"/>
          <w:sz w:val="24"/>
          <w:szCs w:val="24"/>
        </w:rPr>
        <w:t xml:space="preserve"> ser igual</w:t>
      </w:r>
      <w:r w:rsidR="004C32B6" w:rsidRPr="002C13F3">
        <w:rPr>
          <w:rFonts w:ascii="Century" w:hAnsi="Century"/>
          <w:sz w:val="24"/>
          <w:szCs w:val="24"/>
        </w:rPr>
        <w:t>es</w:t>
      </w:r>
      <w:r w:rsidRPr="002C13F3">
        <w:rPr>
          <w:rFonts w:ascii="Century" w:hAnsi="Century"/>
          <w:sz w:val="24"/>
          <w:szCs w:val="24"/>
        </w:rPr>
        <w:t xml:space="preserve"> </w:t>
      </w:r>
      <w:r w:rsidR="00C80FEE" w:rsidRPr="002C13F3">
        <w:rPr>
          <w:rFonts w:ascii="Century" w:hAnsi="Century"/>
          <w:sz w:val="24"/>
          <w:szCs w:val="24"/>
        </w:rPr>
        <w:t xml:space="preserve">en </w:t>
      </w:r>
      <w:r w:rsidRPr="002C13F3">
        <w:rPr>
          <w:rFonts w:ascii="Century" w:hAnsi="Century"/>
          <w:sz w:val="24"/>
          <w:szCs w:val="24"/>
        </w:rPr>
        <w:t xml:space="preserve">el trato fiscal, y por tanto, el reparto de la carga tributaria que deban satisfacer debe ser equitativo. </w:t>
      </w:r>
      <w:r w:rsidR="00786A35">
        <w:rPr>
          <w:rFonts w:ascii="Century" w:hAnsi="Century"/>
          <w:sz w:val="24"/>
          <w:szCs w:val="24"/>
        </w:rPr>
        <w:t>Así, en el caso</w:t>
      </w:r>
      <w:r w:rsidRPr="002C13F3">
        <w:rPr>
          <w:rFonts w:ascii="Century" w:hAnsi="Century"/>
          <w:sz w:val="24"/>
          <w:szCs w:val="24"/>
        </w:rPr>
        <w:t xml:space="preserve"> de que el legislador trate de manera desigual presupuestos de hecho básicamente iguales de manera arbitraria o irrazonable, difícilmente podrá realizarse la igualdad en el reparto de los tributos</w:t>
      </w:r>
      <w:r w:rsidRPr="002C13F3">
        <w:rPr>
          <w:rStyle w:val="Refdenotaalpie"/>
          <w:rFonts w:ascii="Century" w:hAnsi="Century"/>
          <w:sz w:val="24"/>
          <w:szCs w:val="24"/>
        </w:rPr>
        <w:footnoteReference w:id="61"/>
      </w:r>
      <w:r w:rsidRPr="002C13F3">
        <w:rPr>
          <w:rFonts w:ascii="Century" w:hAnsi="Century"/>
          <w:sz w:val="24"/>
          <w:szCs w:val="24"/>
        </w:rPr>
        <w:t>.</w:t>
      </w:r>
      <w:r w:rsidR="00786A35">
        <w:rPr>
          <w:rFonts w:ascii="Century" w:hAnsi="Century"/>
          <w:sz w:val="24"/>
          <w:szCs w:val="24"/>
        </w:rPr>
        <w:t xml:space="preserve"> </w:t>
      </w:r>
    </w:p>
    <w:p w:rsidR="003126CE" w:rsidRPr="00650ED0" w:rsidRDefault="00E26606" w:rsidP="00E26606">
      <w:pPr>
        <w:spacing w:before="240" w:line="360" w:lineRule="auto"/>
        <w:ind w:firstLine="708"/>
        <w:jc w:val="both"/>
        <w:rPr>
          <w:rFonts w:ascii="Century" w:hAnsi="Century"/>
          <w:sz w:val="24"/>
          <w:szCs w:val="24"/>
        </w:rPr>
      </w:pPr>
      <w:r>
        <w:rPr>
          <w:rFonts w:ascii="Century" w:hAnsi="Century"/>
          <w:sz w:val="24"/>
          <w:szCs w:val="24"/>
        </w:rPr>
        <w:t>E</w:t>
      </w:r>
      <w:r w:rsidRPr="002C13F3">
        <w:rPr>
          <w:rFonts w:ascii="Century" w:hAnsi="Century"/>
          <w:sz w:val="24"/>
          <w:szCs w:val="24"/>
        </w:rPr>
        <w:t>ste principio se encuentra relacionado con la exigencia de que situaciones económicamente iguales sean tratadas de la misma forma, admitiéndose</w:t>
      </w:r>
      <w:r>
        <w:rPr>
          <w:rFonts w:ascii="Century" w:hAnsi="Century"/>
          <w:sz w:val="24"/>
          <w:szCs w:val="24"/>
        </w:rPr>
        <w:t xml:space="preserve">, no obstante, </w:t>
      </w:r>
      <w:r w:rsidRPr="002C13F3">
        <w:rPr>
          <w:rFonts w:ascii="Century" w:hAnsi="Century"/>
          <w:sz w:val="24"/>
          <w:szCs w:val="24"/>
        </w:rPr>
        <w:t xml:space="preserve">desigualdades siempre </w:t>
      </w:r>
      <w:r>
        <w:rPr>
          <w:rFonts w:ascii="Century" w:hAnsi="Century"/>
          <w:sz w:val="24"/>
          <w:szCs w:val="24"/>
        </w:rPr>
        <w:t>que</w:t>
      </w:r>
      <w:r w:rsidRPr="002C13F3">
        <w:rPr>
          <w:rFonts w:ascii="Century" w:hAnsi="Century"/>
          <w:sz w:val="24"/>
          <w:szCs w:val="24"/>
        </w:rPr>
        <w:t xml:space="preserve"> no sean arbitrarias, irrazonables o infundadas</w:t>
      </w:r>
      <w:r>
        <w:rPr>
          <w:rFonts w:ascii="Century" w:hAnsi="Century"/>
          <w:sz w:val="24"/>
          <w:szCs w:val="24"/>
        </w:rPr>
        <w:t xml:space="preserve">. </w:t>
      </w:r>
      <w:r w:rsidR="00C80FEE" w:rsidRPr="002C13F3">
        <w:rPr>
          <w:rFonts w:ascii="Century" w:hAnsi="Century"/>
          <w:sz w:val="24"/>
          <w:szCs w:val="24"/>
        </w:rPr>
        <w:t>E</w:t>
      </w:r>
      <w:r w:rsidR="003126CE" w:rsidRPr="002C13F3">
        <w:rPr>
          <w:rFonts w:ascii="Century" w:hAnsi="Century"/>
          <w:sz w:val="24"/>
          <w:szCs w:val="24"/>
        </w:rPr>
        <w:t xml:space="preserve">l TC </w:t>
      </w:r>
      <w:r w:rsidR="00C80FEE" w:rsidRPr="002C13F3">
        <w:rPr>
          <w:rFonts w:ascii="Century" w:hAnsi="Century"/>
          <w:sz w:val="24"/>
          <w:szCs w:val="24"/>
        </w:rPr>
        <w:t xml:space="preserve">desarrolla este principio </w:t>
      </w:r>
      <w:r w:rsidR="003126CE" w:rsidRPr="002C13F3">
        <w:rPr>
          <w:rFonts w:ascii="Century" w:hAnsi="Century"/>
          <w:sz w:val="24"/>
          <w:szCs w:val="24"/>
        </w:rPr>
        <w:t>en diversas sentencias</w:t>
      </w:r>
      <w:r w:rsidR="00C80FEE" w:rsidRPr="002C13F3">
        <w:rPr>
          <w:rFonts w:ascii="Century" w:hAnsi="Century"/>
          <w:sz w:val="24"/>
          <w:szCs w:val="24"/>
        </w:rPr>
        <w:t>,</w:t>
      </w:r>
      <w:r w:rsidR="003126CE" w:rsidRPr="002C13F3">
        <w:rPr>
          <w:rFonts w:ascii="Century" w:hAnsi="Century"/>
          <w:sz w:val="24"/>
          <w:szCs w:val="24"/>
        </w:rPr>
        <w:t xml:space="preserve"> como </w:t>
      </w:r>
      <w:r w:rsidR="00650ED0" w:rsidRPr="002C13F3">
        <w:rPr>
          <w:rFonts w:ascii="Century" w:hAnsi="Century"/>
          <w:sz w:val="24"/>
          <w:szCs w:val="24"/>
        </w:rPr>
        <w:t xml:space="preserve">la </w:t>
      </w:r>
      <w:r w:rsidR="00785EF0">
        <w:rPr>
          <w:rFonts w:ascii="Century" w:hAnsi="Century"/>
          <w:sz w:val="24"/>
          <w:szCs w:val="24"/>
        </w:rPr>
        <w:t xml:space="preserve">STC 96/2002, de 25 de abril de 2002, </w:t>
      </w:r>
      <w:r w:rsidR="00650ED0">
        <w:rPr>
          <w:rFonts w:ascii="Century" w:hAnsi="Century"/>
          <w:sz w:val="24"/>
          <w:szCs w:val="24"/>
        </w:rPr>
        <w:t xml:space="preserve">o </w:t>
      </w:r>
      <w:r w:rsidR="003126CE" w:rsidRPr="002C13F3">
        <w:rPr>
          <w:rFonts w:ascii="Century" w:hAnsi="Century"/>
          <w:sz w:val="24"/>
          <w:szCs w:val="24"/>
        </w:rPr>
        <w:t xml:space="preserve">la STC 60/2015, de 18 de marzo de 2015, </w:t>
      </w:r>
      <w:r w:rsidR="0052098E" w:rsidRPr="002C13F3">
        <w:rPr>
          <w:rFonts w:ascii="Century" w:hAnsi="Century"/>
          <w:sz w:val="24"/>
          <w:szCs w:val="24"/>
        </w:rPr>
        <w:t>sentando</w:t>
      </w:r>
      <w:r w:rsidR="003126CE" w:rsidRPr="002C13F3">
        <w:rPr>
          <w:rFonts w:ascii="Century" w:hAnsi="Century"/>
          <w:sz w:val="24"/>
          <w:szCs w:val="24"/>
        </w:rPr>
        <w:t xml:space="preserve"> </w:t>
      </w:r>
      <w:r w:rsidR="00650ED0">
        <w:rPr>
          <w:rFonts w:ascii="Century" w:hAnsi="Century"/>
          <w:sz w:val="24"/>
          <w:szCs w:val="24"/>
        </w:rPr>
        <w:t>una serie de</w:t>
      </w:r>
      <w:r w:rsidR="003126CE" w:rsidRPr="002C13F3">
        <w:rPr>
          <w:rFonts w:ascii="Century" w:hAnsi="Century"/>
          <w:sz w:val="24"/>
          <w:szCs w:val="24"/>
        </w:rPr>
        <w:t xml:space="preserve"> bases</w:t>
      </w:r>
      <w:r w:rsidR="00650ED0">
        <w:rPr>
          <w:rFonts w:ascii="Century" w:hAnsi="Century"/>
          <w:sz w:val="24"/>
          <w:szCs w:val="24"/>
        </w:rPr>
        <w:t>. Así, el principio de igualdad</w:t>
      </w:r>
      <w:r w:rsidR="00650ED0" w:rsidRPr="00650ED0">
        <w:rPr>
          <w:rFonts w:cstheme="minorHAnsi"/>
          <w:sz w:val="24"/>
          <w:szCs w:val="24"/>
        </w:rPr>
        <w:t>:</w:t>
      </w:r>
    </w:p>
    <w:p w:rsidR="00E26606" w:rsidRDefault="003126CE" w:rsidP="00E26606">
      <w:pPr>
        <w:pStyle w:val="Prrafodelista"/>
        <w:numPr>
          <w:ilvl w:val="0"/>
          <w:numId w:val="4"/>
        </w:numPr>
        <w:tabs>
          <w:tab w:val="left" w:pos="851"/>
        </w:tabs>
        <w:spacing w:before="240" w:line="360" w:lineRule="auto"/>
        <w:ind w:left="851" w:hanging="142"/>
        <w:jc w:val="both"/>
        <w:rPr>
          <w:rFonts w:ascii="Century" w:hAnsi="Century"/>
          <w:sz w:val="24"/>
          <w:szCs w:val="24"/>
        </w:rPr>
      </w:pPr>
      <w:r w:rsidRPr="002C13F3">
        <w:rPr>
          <w:rFonts w:ascii="Century" w:hAnsi="Century"/>
          <w:sz w:val="24"/>
          <w:szCs w:val="24"/>
        </w:rPr>
        <w:t>no trata de prohibir cualquier tipo de desigualdad, sino únicamente que incluye alguna diferencia entre situaciones que pueden ser consideradas iguales y que no tienen una razón objetiva</w:t>
      </w:r>
      <w:r w:rsidR="008E4E7D" w:rsidRPr="002C13F3">
        <w:rPr>
          <w:rFonts w:ascii="Century" w:hAnsi="Century"/>
          <w:sz w:val="24"/>
          <w:szCs w:val="24"/>
        </w:rPr>
        <w:t xml:space="preserve"> que la justifique</w:t>
      </w:r>
      <w:r w:rsidRPr="002C13F3">
        <w:rPr>
          <w:rFonts w:ascii="Century" w:hAnsi="Century"/>
          <w:sz w:val="24"/>
          <w:szCs w:val="24"/>
        </w:rPr>
        <w:t>. O dicho de otro modo,</w:t>
      </w:r>
      <w:r w:rsidR="008E4E7D" w:rsidRPr="002C13F3">
        <w:rPr>
          <w:rFonts w:ascii="Century" w:hAnsi="Century"/>
          <w:sz w:val="24"/>
          <w:szCs w:val="24"/>
        </w:rPr>
        <w:t xml:space="preserve"> se prohíbe</w:t>
      </w:r>
      <w:r w:rsidRPr="002C13F3">
        <w:rPr>
          <w:rFonts w:ascii="Century" w:hAnsi="Century"/>
          <w:sz w:val="24"/>
          <w:szCs w:val="24"/>
        </w:rPr>
        <w:t xml:space="preserve"> aquella desigualdad que pueda ser considerada como discriminatoria.  </w:t>
      </w:r>
    </w:p>
    <w:p w:rsidR="00E26606" w:rsidRPr="00E26606" w:rsidRDefault="00E26606" w:rsidP="00E26606">
      <w:pPr>
        <w:pStyle w:val="Prrafodelista"/>
        <w:tabs>
          <w:tab w:val="left" w:pos="851"/>
        </w:tabs>
        <w:spacing w:before="240" w:line="360" w:lineRule="auto"/>
        <w:ind w:left="851"/>
        <w:jc w:val="both"/>
        <w:rPr>
          <w:rFonts w:ascii="Century" w:hAnsi="Century"/>
          <w:sz w:val="10"/>
          <w:szCs w:val="10"/>
        </w:rPr>
      </w:pPr>
    </w:p>
    <w:p w:rsidR="003126CE" w:rsidRPr="002C13F3" w:rsidRDefault="003126CE" w:rsidP="00E26606">
      <w:pPr>
        <w:pStyle w:val="Prrafodelista"/>
        <w:numPr>
          <w:ilvl w:val="0"/>
          <w:numId w:val="4"/>
        </w:numPr>
        <w:tabs>
          <w:tab w:val="left" w:pos="851"/>
        </w:tabs>
        <w:spacing w:before="240" w:line="360" w:lineRule="auto"/>
        <w:ind w:left="851" w:hanging="142"/>
        <w:jc w:val="both"/>
        <w:rPr>
          <w:rFonts w:ascii="Century" w:hAnsi="Century"/>
          <w:sz w:val="24"/>
          <w:szCs w:val="24"/>
        </w:rPr>
      </w:pPr>
      <w:r w:rsidRPr="002C13F3">
        <w:rPr>
          <w:rFonts w:ascii="Century" w:hAnsi="Century"/>
          <w:sz w:val="24"/>
          <w:szCs w:val="24"/>
        </w:rPr>
        <w:t xml:space="preserve">exige que aquellos supuestos de hecho que se consideren iguales deben de tener las mismas consecuencias jurídicas. </w:t>
      </w:r>
    </w:p>
    <w:p w:rsidR="00650ED0" w:rsidRPr="00E26606" w:rsidRDefault="003126CE" w:rsidP="00E26606">
      <w:pPr>
        <w:pStyle w:val="Prrafodelista"/>
        <w:numPr>
          <w:ilvl w:val="0"/>
          <w:numId w:val="4"/>
        </w:numPr>
        <w:tabs>
          <w:tab w:val="left" w:pos="851"/>
        </w:tabs>
        <w:spacing w:before="240" w:line="360" w:lineRule="auto"/>
        <w:ind w:left="851" w:hanging="142"/>
        <w:jc w:val="both"/>
        <w:rPr>
          <w:rFonts w:ascii="Century" w:hAnsi="Century"/>
          <w:sz w:val="24"/>
          <w:szCs w:val="24"/>
        </w:rPr>
      </w:pPr>
      <w:r w:rsidRPr="002C13F3">
        <w:rPr>
          <w:rFonts w:ascii="Century" w:hAnsi="Century"/>
          <w:sz w:val="24"/>
          <w:szCs w:val="24"/>
        </w:rPr>
        <w:lastRenderedPageBreak/>
        <w:t xml:space="preserve">solamente prohíbe aplicar desigualdades a través de criterios poco objetivos o irrazonables, así como que tengan un fin gravoso o </w:t>
      </w:r>
      <w:r w:rsidRPr="00E26606">
        <w:rPr>
          <w:rFonts w:ascii="Century" w:hAnsi="Century"/>
          <w:sz w:val="24"/>
          <w:szCs w:val="24"/>
        </w:rPr>
        <w:t>injustificado.</w:t>
      </w:r>
    </w:p>
    <w:p w:rsidR="00E26606" w:rsidRPr="00E26606" w:rsidRDefault="00650ED0" w:rsidP="00E26606">
      <w:pPr>
        <w:pStyle w:val="Prrafodelista"/>
        <w:spacing w:before="240" w:line="360" w:lineRule="auto"/>
        <w:ind w:left="0"/>
        <w:jc w:val="both"/>
        <w:rPr>
          <w:rFonts w:ascii="Century" w:hAnsi="Century"/>
          <w:sz w:val="10"/>
          <w:szCs w:val="10"/>
        </w:rPr>
      </w:pPr>
      <w:r w:rsidRPr="00E26606">
        <w:rPr>
          <w:rFonts w:ascii="Century" w:hAnsi="Century"/>
          <w:sz w:val="24"/>
          <w:szCs w:val="24"/>
        </w:rPr>
        <w:tab/>
      </w:r>
    </w:p>
    <w:p w:rsidR="00E144BA" w:rsidRPr="00E26606" w:rsidRDefault="00E26606" w:rsidP="00E26606">
      <w:pPr>
        <w:pStyle w:val="Prrafodelista"/>
        <w:spacing w:before="240" w:line="360" w:lineRule="auto"/>
        <w:ind w:left="0"/>
        <w:jc w:val="both"/>
        <w:rPr>
          <w:rFonts w:ascii="Century" w:hAnsi="Century"/>
          <w:sz w:val="24"/>
          <w:szCs w:val="24"/>
        </w:rPr>
      </w:pPr>
      <w:r w:rsidRPr="00E26606">
        <w:rPr>
          <w:rFonts w:ascii="Century" w:hAnsi="Century"/>
          <w:sz w:val="24"/>
          <w:szCs w:val="24"/>
        </w:rPr>
        <w:tab/>
      </w:r>
      <w:r w:rsidR="00650ED0" w:rsidRPr="00E26606">
        <w:rPr>
          <w:rFonts w:ascii="Century" w:hAnsi="Century"/>
          <w:sz w:val="24"/>
          <w:szCs w:val="24"/>
        </w:rPr>
        <w:t>De acuerdo con ello</w:t>
      </w:r>
      <w:r w:rsidR="003126CE" w:rsidRPr="00E26606">
        <w:rPr>
          <w:rFonts w:ascii="Century" w:hAnsi="Century"/>
          <w:sz w:val="24"/>
          <w:szCs w:val="24"/>
        </w:rPr>
        <w:t>, en aquellas situaciones consideradas iguales cuando haya a</w:t>
      </w:r>
      <w:r w:rsidR="00F53E85" w:rsidRPr="00E26606">
        <w:rPr>
          <w:rFonts w:ascii="Century" w:hAnsi="Century"/>
          <w:sz w:val="24"/>
          <w:szCs w:val="24"/>
        </w:rPr>
        <w:t>lguna diferenciación, ésta debe</w:t>
      </w:r>
      <w:r w:rsidR="003126CE" w:rsidRPr="00E26606">
        <w:rPr>
          <w:rFonts w:ascii="Century" w:hAnsi="Century"/>
          <w:sz w:val="24"/>
          <w:szCs w:val="24"/>
        </w:rPr>
        <w:t xml:space="preserve"> ser lícita, y las consecuencias jurídicas deben ser proporcionadas a dicho fin. De este modo, se debe evitar</w:t>
      </w:r>
      <w:r w:rsidR="00946B62">
        <w:rPr>
          <w:rFonts w:ascii="Century" w:hAnsi="Century"/>
          <w:sz w:val="24"/>
          <w:szCs w:val="24"/>
        </w:rPr>
        <w:t xml:space="preserve"> que se originen</w:t>
      </w:r>
      <w:r w:rsidR="003126CE" w:rsidRPr="00E26606">
        <w:rPr>
          <w:rFonts w:ascii="Century" w:hAnsi="Century"/>
          <w:sz w:val="24"/>
          <w:szCs w:val="24"/>
        </w:rPr>
        <w:t xml:space="preserve"> resultados artificiosos o desmesurados, puesto que el trato desigual que se produzca debe ser coherente con los fines perseguidos por la normativa</w:t>
      </w:r>
      <w:r w:rsidR="003126CE" w:rsidRPr="00E26606">
        <w:rPr>
          <w:rStyle w:val="Refdenotaalpie"/>
          <w:rFonts w:ascii="Century" w:hAnsi="Century"/>
          <w:sz w:val="24"/>
          <w:szCs w:val="24"/>
        </w:rPr>
        <w:footnoteReference w:id="62"/>
      </w:r>
      <w:r w:rsidR="003126CE" w:rsidRPr="00E26606">
        <w:rPr>
          <w:rFonts w:ascii="Century" w:hAnsi="Century"/>
          <w:sz w:val="24"/>
          <w:szCs w:val="24"/>
        </w:rPr>
        <w:t>.</w:t>
      </w:r>
    </w:p>
    <w:p w:rsidR="00650ED0" w:rsidRDefault="00E144BA" w:rsidP="006A5290">
      <w:pPr>
        <w:spacing w:after="240" w:line="360" w:lineRule="auto"/>
        <w:ind w:firstLine="708"/>
        <w:jc w:val="both"/>
        <w:rPr>
          <w:rFonts w:ascii="Century" w:hAnsi="Century"/>
          <w:sz w:val="24"/>
          <w:szCs w:val="24"/>
        </w:rPr>
      </w:pPr>
      <w:r w:rsidRPr="00E26606">
        <w:rPr>
          <w:rFonts w:ascii="Century" w:hAnsi="Century"/>
          <w:sz w:val="24"/>
          <w:szCs w:val="24"/>
        </w:rPr>
        <w:t xml:space="preserve">Como hemos apuntado al comienzo de este apartado, el principio de igualdad es vulnerado </w:t>
      </w:r>
      <w:r w:rsidR="00EB304E" w:rsidRPr="00E26606">
        <w:rPr>
          <w:rFonts w:ascii="Century" w:hAnsi="Century"/>
          <w:sz w:val="24"/>
          <w:szCs w:val="24"/>
        </w:rPr>
        <w:t xml:space="preserve">en nuestro territorio </w:t>
      </w:r>
      <w:r w:rsidR="004D79B1" w:rsidRPr="00E26606">
        <w:rPr>
          <w:rFonts w:ascii="Century" w:hAnsi="Century"/>
          <w:sz w:val="24"/>
          <w:szCs w:val="24"/>
        </w:rPr>
        <w:t xml:space="preserve">debido </w:t>
      </w:r>
      <w:r w:rsidR="00650ED0" w:rsidRPr="00E26606">
        <w:rPr>
          <w:rFonts w:ascii="Century" w:hAnsi="Century"/>
          <w:sz w:val="24"/>
          <w:szCs w:val="24"/>
        </w:rPr>
        <w:t xml:space="preserve">a la dispar regulación autonómica </w:t>
      </w:r>
      <w:r w:rsidR="00EB304E" w:rsidRPr="00E26606">
        <w:rPr>
          <w:rFonts w:ascii="Century" w:hAnsi="Century"/>
          <w:sz w:val="24"/>
          <w:szCs w:val="24"/>
        </w:rPr>
        <w:t>en materia sucesoria</w:t>
      </w:r>
      <w:r w:rsidR="00072377" w:rsidRPr="00E26606">
        <w:rPr>
          <w:rFonts w:ascii="Century" w:hAnsi="Century"/>
          <w:sz w:val="24"/>
          <w:szCs w:val="24"/>
        </w:rPr>
        <w:t xml:space="preserve">, provocando una </w:t>
      </w:r>
      <w:r w:rsidR="00650ED0" w:rsidRPr="00E26606">
        <w:rPr>
          <w:rFonts w:ascii="Century" w:hAnsi="Century"/>
          <w:sz w:val="24"/>
          <w:szCs w:val="24"/>
        </w:rPr>
        <w:t xml:space="preserve">importante </w:t>
      </w:r>
      <w:r w:rsidR="00072377" w:rsidRPr="00E26606">
        <w:rPr>
          <w:rFonts w:ascii="Century" w:hAnsi="Century"/>
          <w:sz w:val="24"/>
          <w:szCs w:val="24"/>
        </w:rPr>
        <w:t xml:space="preserve">brecha fiscal entre las mismas. </w:t>
      </w:r>
      <w:r w:rsidR="00650ED0" w:rsidRPr="00E26606">
        <w:rPr>
          <w:rFonts w:ascii="Century" w:hAnsi="Century"/>
          <w:sz w:val="24"/>
          <w:szCs w:val="24"/>
        </w:rPr>
        <w:t>Si el</w:t>
      </w:r>
      <w:r w:rsidR="00827308" w:rsidRPr="00E26606">
        <w:rPr>
          <w:rFonts w:ascii="Century" w:hAnsi="Century"/>
          <w:sz w:val="24"/>
          <w:szCs w:val="24"/>
        </w:rPr>
        <w:t xml:space="preserve"> impacto del </w:t>
      </w:r>
      <w:r w:rsidR="00B07A97" w:rsidRPr="00E26606">
        <w:rPr>
          <w:rFonts w:ascii="Century" w:hAnsi="Century"/>
          <w:sz w:val="24"/>
          <w:szCs w:val="24"/>
        </w:rPr>
        <w:t>ISUC</w:t>
      </w:r>
      <w:r w:rsidR="00650ED0" w:rsidRPr="00E26606">
        <w:rPr>
          <w:rFonts w:ascii="Century" w:hAnsi="Century"/>
          <w:sz w:val="24"/>
          <w:szCs w:val="24"/>
        </w:rPr>
        <w:t xml:space="preserve"> depende</w:t>
      </w:r>
      <w:r w:rsidR="00827308" w:rsidRPr="00E26606">
        <w:rPr>
          <w:rFonts w:ascii="Century" w:hAnsi="Century"/>
          <w:sz w:val="24"/>
          <w:szCs w:val="24"/>
        </w:rPr>
        <w:t xml:space="preserve"> sólo de la ubicación geográfica</w:t>
      </w:r>
      <w:r w:rsidR="00650ED0" w:rsidRPr="00E26606">
        <w:rPr>
          <w:rFonts w:ascii="Century" w:hAnsi="Century"/>
          <w:sz w:val="24"/>
          <w:szCs w:val="24"/>
        </w:rPr>
        <w:t>,</w:t>
      </w:r>
      <w:r w:rsidR="00827308" w:rsidRPr="00E26606">
        <w:rPr>
          <w:rFonts w:ascii="Century" w:hAnsi="Century"/>
          <w:sz w:val="24"/>
          <w:szCs w:val="24"/>
        </w:rPr>
        <w:t xml:space="preserve"> </w:t>
      </w:r>
      <w:r w:rsidR="00650ED0" w:rsidRPr="00E26606">
        <w:rPr>
          <w:rFonts w:ascii="Century" w:hAnsi="Century"/>
          <w:sz w:val="24"/>
          <w:szCs w:val="24"/>
        </w:rPr>
        <w:t>¿dón</w:t>
      </w:r>
      <w:r w:rsidR="00827308" w:rsidRPr="00E26606">
        <w:rPr>
          <w:rFonts w:ascii="Century" w:hAnsi="Century"/>
          <w:sz w:val="24"/>
          <w:szCs w:val="24"/>
        </w:rPr>
        <w:t>de</w:t>
      </w:r>
      <w:r w:rsidR="00650ED0" w:rsidRPr="00E26606">
        <w:rPr>
          <w:rFonts w:ascii="Century" w:hAnsi="Century"/>
          <w:sz w:val="24"/>
          <w:szCs w:val="24"/>
        </w:rPr>
        <w:t xml:space="preserve"> queda</w:t>
      </w:r>
      <w:r w:rsidR="00827308" w:rsidRPr="00E26606">
        <w:rPr>
          <w:rFonts w:ascii="Century" w:hAnsi="Century"/>
          <w:sz w:val="24"/>
          <w:szCs w:val="24"/>
        </w:rPr>
        <w:t xml:space="preserve"> la situación económica en que se encuentra el s</w:t>
      </w:r>
      <w:r w:rsidR="00650ED0" w:rsidRPr="00E26606">
        <w:rPr>
          <w:rFonts w:ascii="Century" w:hAnsi="Century"/>
          <w:sz w:val="24"/>
          <w:szCs w:val="24"/>
        </w:rPr>
        <w:t>ujeto obligado al pago?</w:t>
      </w:r>
      <w:r w:rsidR="00827308" w:rsidRPr="00E26606">
        <w:rPr>
          <w:rFonts w:ascii="Century" w:hAnsi="Century"/>
          <w:sz w:val="24"/>
          <w:szCs w:val="24"/>
        </w:rPr>
        <w:t xml:space="preserve"> </w:t>
      </w:r>
      <w:r w:rsidR="00650ED0" w:rsidRPr="00E26606">
        <w:rPr>
          <w:rFonts w:ascii="Century" w:hAnsi="Century"/>
          <w:sz w:val="24"/>
          <w:szCs w:val="24"/>
        </w:rPr>
        <w:t>Y es</w:t>
      </w:r>
      <w:r w:rsidR="00650ED0">
        <w:rPr>
          <w:rFonts w:ascii="Century" w:hAnsi="Century"/>
          <w:sz w:val="24"/>
          <w:szCs w:val="24"/>
        </w:rPr>
        <w:t xml:space="preserve"> que conforme a la actual regulación, dos sujetos con la misma capacidad económica tributarán de forma totalmente diferente, sólo por el hecho accidental o “buscado” en la medida de lo posible de residir en un territorio u otro.</w:t>
      </w:r>
    </w:p>
    <w:p w:rsidR="003126CE" w:rsidRPr="002C13F3" w:rsidRDefault="00650ED0" w:rsidP="00B95B9B">
      <w:pPr>
        <w:spacing w:after="240" w:line="360" w:lineRule="auto"/>
        <w:ind w:firstLine="708"/>
        <w:jc w:val="both"/>
        <w:rPr>
          <w:rFonts w:ascii="Century" w:hAnsi="Century"/>
          <w:sz w:val="24"/>
          <w:szCs w:val="24"/>
        </w:rPr>
      </w:pPr>
      <w:r>
        <w:rPr>
          <w:rFonts w:ascii="Century" w:hAnsi="Century"/>
          <w:sz w:val="24"/>
          <w:szCs w:val="24"/>
        </w:rPr>
        <w:t>L</w:t>
      </w:r>
      <w:r w:rsidR="003126CE" w:rsidRPr="002C13F3">
        <w:rPr>
          <w:rFonts w:ascii="Century" w:hAnsi="Century"/>
          <w:sz w:val="24"/>
          <w:szCs w:val="24"/>
        </w:rPr>
        <w:t xml:space="preserve">as adquisiciones </w:t>
      </w:r>
      <w:r w:rsidR="003126CE" w:rsidRPr="00650ED0">
        <w:rPr>
          <w:rFonts w:ascii="Century" w:hAnsi="Century"/>
          <w:i/>
          <w:sz w:val="24"/>
          <w:szCs w:val="24"/>
        </w:rPr>
        <w:t>mortis causa</w:t>
      </w:r>
      <w:r>
        <w:rPr>
          <w:rFonts w:ascii="Century" w:hAnsi="Century"/>
          <w:sz w:val="24"/>
          <w:szCs w:val="24"/>
        </w:rPr>
        <w:t xml:space="preserve"> tributarán en nuestro país</w:t>
      </w:r>
      <w:r w:rsidR="00444888">
        <w:rPr>
          <w:rFonts w:ascii="Century" w:hAnsi="Century"/>
          <w:sz w:val="24"/>
          <w:szCs w:val="24"/>
        </w:rPr>
        <w:t xml:space="preserve"> de diferente modo</w:t>
      </w:r>
      <w:r>
        <w:rPr>
          <w:rFonts w:ascii="Century" w:hAnsi="Century"/>
          <w:sz w:val="24"/>
          <w:szCs w:val="24"/>
        </w:rPr>
        <w:t xml:space="preserve"> </w:t>
      </w:r>
      <w:r w:rsidR="00444888">
        <w:rPr>
          <w:rFonts w:ascii="Century" w:hAnsi="Century"/>
          <w:sz w:val="24"/>
          <w:szCs w:val="24"/>
        </w:rPr>
        <w:t>dependiendo de</w:t>
      </w:r>
      <w:r>
        <w:rPr>
          <w:rFonts w:ascii="Century" w:hAnsi="Century"/>
          <w:sz w:val="24"/>
          <w:szCs w:val="24"/>
        </w:rPr>
        <w:t xml:space="preserve"> la ubicación geográfica de los causahabientes, según las reducciones</w:t>
      </w:r>
      <w:r w:rsidR="003126CE" w:rsidRPr="002C13F3">
        <w:rPr>
          <w:rFonts w:ascii="Century" w:hAnsi="Century"/>
          <w:sz w:val="24"/>
          <w:szCs w:val="24"/>
        </w:rPr>
        <w:t xml:space="preserve">, </w:t>
      </w:r>
      <w:r w:rsidR="00E8123D" w:rsidRPr="002C13F3">
        <w:rPr>
          <w:rFonts w:ascii="Century" w:hAnsi="Century"/>
          <w:sz w:val="24"/>
          <w:szCs w:val="24"/>
        </w:rPr>
        <w:t>tipos de gravámenes, bonificaciones y deducciones,</w:t>
      </w:r>
      <w:r>
        <w:rPr>
          <w:rFonts w:ascii="Century" w:hAnsi="Century"/>
          <w:sz w:val="24"/>
          <w:szCs w:val="24"/>
        </w:rPr>
        <w:t xml:space="preserve"> previstas en cada caso</w:t>
      </w:r>
      <w:r w:rsidR="00E8123D" w:rsidRPr="002C13F3">
        <w:rPr>
          <w:rFonts w:ascii="Century" w:hAnsi="Century"/>
          <w:sz w:val="24"/>
          <w:szCs w:val="24"/>
        </w:rPr>
        <w:t xml:space="preserve"> como hemos visto anteriormente,</w:t>
      </w:r>
      <w:r>
        <w:rPr>
          <w:rFonts w:ascii="Century" w:hAnsi="Century"/>
          <w:sz w:val="24"/>
          <w:szCs w:val="24"/>
        </w:rPr>
        <w:t xml:space="preserve"> bien</w:t>
      </w:r>
      <w:r w:rsidR="003126CE" w:rsidRPr="002C13F3">
        <w:rPr>
          <w:rFonts w:ascii="Century" w:hAnsi="Century"/>
          <w:sz w:val="24"/>
          <w:szCs w:val="24"/>
        </w:rPr>
        <w:t xml:space="preserve"> en función de la relación de parentesco existente entre el transmitente y el sujeto pasivo, </w:t>
      </w:r>
      <w:r w:rsidR="00AE1A8C">
        <w:rPr>
          <w:rFonts w:ascii="Century" w:hAnsi="Century"/>
          <w:sz w:val="24"/>
          <w:szCs w:val="24"/>
        </w:rPr>
        <w:t>o e</w:t>
      </w:r>
      <w:r w:rsidR="003126CE" w:rsidRPr="002C13F3">
        <w:rPr>
          <w:rFonts w:ascii="Century" w:hAnsi="Century"/>
          <w:sz w:val="24"/>
          <w:szCs w:val="24"/>
        </w:rPr>
        <w:t>l patrimonio previo</w:t>
      </w:r>
      <w:r w:rsidR="00AE1A8C">
        <w:rPr>
          <w:rFonts w:ascii="Century" w:hAnsi="Century"/>
          <w:sz w:val="24"/>
          <w:szCs w:val="24"/>
        </w:rPr>
        <w:t xml:space="preserve"> o bien según la naturaleza del bien o derecho adquirido</w:t>
      </w:r>
      <w:r w:rsidR="003126CE" w:rsidRPr="002C13F3">
        <w:rPr>
          <w:rFonts w:ascii="Century" w:hAnsi="Century"/>
          <w:sz w:val="24"/>
          <w:szCs w:val="24"/>
        </w:rPr>
        <w:t xml:space="preserve">. </w:t>
      </w:r>
      <w:r w:rsidR="00AE1A8C">
        <w:rPr>
          <w:rFonts w:ascii="Century" w:hAnsi="Century"/>
          <w:sz w:val="24"/>
          <w:szCs w:val="24"/>
        </w:rPr>
        <w:t>En este sentido, l</w:t>
      </w:r>
      <w:r w:rsidR="003126CE" w:rsidRPr="002C13F3">
        <w:rPr>
          <w:rFonts w:ascii="Century" w:hAnsi="Century"/>
          <w:sz w:val="24"/>
          <w:szCs w:val="24"/>
        </w:rPr>
        <w:t>as transmisiones entre parientes más cercanos soportan una fiscalidad más beneficiosa</w:t>
      </w:r>
      <w:r w:rsidR="00AE1A8C">
        <w:rPr>
          <w:rFonts w:ascii="Century" w:hAnsi="Century"/>
          <w:sz w:val="24"/>
          <w:szCs w:val="24"/>
        </w:rPr>
        <w:t>,</w:t>
      </w:r>
      <w:r w:rsidR="003126CE" w:rsidRPr="002C13F3">
        <w:rPr>
          <w:rFonts w:ascii="Century" w:hAnsi="Century"/>
          <w:sz w:val="24"/>
          <w:szCs w:val="24"/>
        </w:rPr>
        <w:t xml:space="preserve"> debido a las reducciones</w:t>
      </w:r>
      <w:r w:rsidR="00AE1A8C">
        <w:rPr>
          <w:rFonts w:ascii="Century" w:hAnsi="Century"/>
          <w:sz w:val="24"/>
          <w:szCs w:val="24"/>
        </w:rPr>
        <w:t xml:space="preserve"> aplicables sobre la base imponible</w:t>
      </w:r>
      <w:r w:rsidR="003126CE" w:rsidRPr="002C13F3">
        <w:rPr>
          <w:rFonts w:ascii="Century" w:hAnsi="Century"/>
          <w:sz w:val="24"/>
          <w:szCs w:val="24"/>
        </w:rPr>
        <w:t>. En cambio,</w:t>
      </w:r>
      <w:r w:rsidR="00AE1A8C">
        <w:rPr>
          <w:rFonts w:ascii="Century" w:hAnsi="Century"/>
          <w:sz w:val="24"/>
          <w:szCs w:val="24"/>
        </w:rPr>
        <w:t xml:space="preserve"> los</w:t>
      </w:r>
      <w:r w:rsidR="003126CE" w:rsidRPr="002C13F3">
        <w:rPr>
          <w:rFonts w:ascii="Century" w:hAnsi="Century"/>
          <w:sz w:val="24"/>
          <w:szCs w:val="24"/>
        </w:rPr>
        <w:t xml:space="preserve"> parientes más lejanos </w:t>
      </w:r>
      <w:r w:rsidR="003126CE" w:rsidRPr="002C13F3">
        <w:rPr>
          <w:rFonts w:ascii="Century" w:hAnsi="Century"/>
          <w:sz w:val="24"/>
          <w:szCs w:val="24"/>
        </w:rPr>
        <w:lastRenderedPageBreak/>
        <w:t>soportan más carga fiscal debido a que las reducciones no son tan ventajosas</w:t>
      </w:r>
      <w:r w:rsidR="003126CE" w:rsidRPr="002C13F3">
        <w:rPr>
          <w:rStyle w:val="Refdenotaalpie"/>
          <w:rFonts w:ascii="Century" w:hAnsi="Century"/>
          <w:sz w:val="24"/>
          <w:szCs w:val="24"/>
        </w:rPr>
        <w:footnoteReference w:id="63"/>
      </w:r>
      <w:r w:rsidR="003126CE" w:rsidRPr="002C13F3">
        <w:rPr>
          <w:rFonts w:ascii="Century" w:hAnsi="Century"/>
          <w:sz w:val="24"/>
          <w:szCs w:val="24"/>
        </w:rPr>
        <w:t>.</w:t>
      </w:r>
    </w:p>
    <w:p w:rsidR="003126CE" w:rsidRDefault="003A7B37" w:rsidP="00B95B9B">
      <w:pPr>
        <w:spacing w:after="240" w:line="360" w:lineRule="auto"/>
        <w:ind w:firstLine="708"/>
        <w:jc w:val="both"/>
        <w:rPr>
          <w:rFonts w:ascii="Century" w:hAnsi="Century"/>
          <w:sz w:val="24"/>
          <w:szCs w:val="24"/>
        </w:rPr>
      </w:pPr>
      <w:r w:rsidRPr="002C13F3">
        <w:rPr>
          <w:rFonts w:ascii="Century" w:hAnsi="Century"/>
          <w:sz w:val="24"/>
          <w:szCs w:val="24"/>
        </w:rPr>
        <w:t xml:space="preserve">NÚÑEZ GRAÑÓN </w:t>
      </w:r>
      <w:r w:rsidR="003126CE" w:rsidRPr="002C13F3">
        <w:rPr>
          <w:rFonts w:ascii="Century" w:hAnsi="Century"/>
          <w:sz w:val="24"/>
          <w:szCs w:val="24"/>
        </w:rPr>
        <w:t>establece que “la diferencia en función del grado de parentesco está justificada</w:t>
      </w:r>
      <w:r w:rsidR="00DD2662">
        <w:rPr>
          <w:rFonts w:ascii="Century" w:hAnsi="Century"/>
          <w:sz w:val="24"/>
          <w:szCs w:val="24"/>
        </w:rPr>
        <w:t>,</w:t>
      </w:r>
      <w:r w:rsidR="003126CE" w:rsidRPr="002C13F3">
        <w:rPr>
          <w:rFonts w:ascii="Century" w:hAnsi="Century"/>
          <w:sz w:val="24"/>
          <w:szCs w:val="24"/>
        </w:rPr>
        <w:t xml:space="preserve"> por el concepto tradicional de familia, que en este caso engloba a todos los ascendientes y descendientes en línea directa y al cónyuge, diferenciándolos de los colaterales</w:t>
      </w:r>
      <w:r w:rsidR="00E26606">
        <w:rPr>
          <w:rFonts w:ascii="Century" w:hAnsi="Century"/>
          <w:sz w:val="24"/>
          <w:szCs w:val="24"/>
        </w:rPr>
        <w:t>,</w:t>
      </w:r>
      <w:r w:rsidR="003126CE" w:rsidRPr="002C13F3">
        <w:rPr>
          <w:rFonts w:ascii="Century" w:hAnsi="Century"/>
          <w:sz w:val="24"/>
          <w:szCs w:val="24"/>
        </w:rPr>
        <w:t xml:space="preserve"> ascendientes y descendientes por afinidad”. </w:t>
      </w:r>
      <w:r w:rsidR="004F56DF">
        <w:rPr>
          <w:rFonts w:ascii="Century" w:hAnsi="Century"/>
          <w:sz w:val="24"/>
          <w:szCs w:val="24"/>
        </w:rPr>
        <w:t>S</w:t>
      </w:r>
      <w:r w:rsidR="003126CE" w:rsidRPr="002C13F3">
        <w:rPr>
          <w:rFonts w:ascii="Century" w:hAnsi="Century"/>
          <w:sz w:val="24"/>
          <w:szCs w:val="24"/>
        </w:rPr>
        <w:t xml:space="preserve">e considera </w:t>
      </w:r>
      <w:r w:rsidR="00E8123D" w:rsidRPr="002C13F3">
        <w:rPr>
          <w:rFonts w:ascii="Century" w:hAnsi="Century"/>
          <w:sz w:val="24"/>
          <w:szCs w:val="24"/>
        </w:rPr>
        <w:t xml:space="preserve">que </w:t>
      </w:r>
      <w:r w:rsidR="003126CE" w:rsidRPr="002C13F3">
        <w:rPr>
          <w:rFonts w:ascii="Century" w:hAnsi="Century"/>
          <w:sz w:val="24"/>
          <w:szCs w:val="24"/>
        </w:rPr>
        <w:t>tal medida no vulnera el principio de igualdad, ya que aunque se esté tratando situaciones iguales de forma diferente, es por una causa justificada</w:t>
      </w:r>
      <w:r w:rsidR="003126CE" w:rsidRPr="00514069">
        <w:rPr>
          <w:rFonts w:cstheme="minorHAnsi"/>
          <w:sz w:val="24"/>
          <w:szCs w:val="24"/>
        </w:rPr>
        <w:t>:</w:t>
      </w:r>
      <w:r w:rsidR="003126CE" w:rsidRPr="002C13F3">
        <w:rPr>
          <w:rFonts w:ascii="Century" w:hAnsi="Century"/>
          <w:sz w:val="24"/>
          <w:szCs w:val="24"/>
        </w:rPr>
        <w:t xml:space="preserve"> la protección de la familia.</w:t>
      </w:r>
      <w:r w:rsidR="00DD2662">
        <w:rPr>
          <w:rFonts w:ascii="Century" w:hAnsi="Century"/>
          <w:sz w:val="24"/>
          <w:szCs w:val="24"/>
        </w:rPr>
        <w:t xml:space="preserve"> Junto a ello,</w:t>
      </w:r>
      <w:r w:rsidR="003126CE" w:rsidRPr="002C13F3">
        <w:rPr>
          <w:rFonts w:ascii="Century" w:hAnsi="Century"/>
          <w:sz w:val="24"/>
          <w:szCs w:val="24"/>
        </w:rPr>
        <w:t xml:space="preserve"> </w:t>
      </w:r>
      <w:r w:rsidR="00DD2662">
        <w:rPr>
          <w:rFonts w:ascii="Century" w:hAnsi="Century"/>
          <w:sz w:val="24"/>
          <w:szCs w:val="24"/>
        </w:rPr>
        <w:t>está justificado</w:t>
      </w:r>
      <w:r w:rsidR="003126CE" w:rsidRPr="002C13F3">
        <w:rPr>
          <w:rFonts w:ascii="Century" w:hAnsi="Century"/>
          <w:sz w:val="24"/>
          <w:szCs w:val="24"/>
        </w:rPr>
        <w:t xml:space="preserve"> que las situaciones más </w:t>
      </w:r>
      <w:r w:rsidR="00DD2662">
        <w:rPr>
          <w:rFonts w:ascii="Century" w:hAnsi="Century"/>
          <w:sz w:val="24"/>
          <w:szCs w:val="24"/>
        </w:rPr>
        <w:t>desamparadas económicamente deba</w:t>
      </w:r>
      <w:r w:rsidR="003126CE" w:rsidRPr="002C13F3">
        <w:rPr>
          <w:rFonts w:ascii="Century" w:hAnsi="Century"/>
          <w:sz w:val="24"/>
          <w:szCs w:val="24"/>
        </w:rPr>
        <w:t>n tener una mayor consideración, como es el caso de los descendientes o adoptados menores de veintiún años</w:t>
      </w:r>
      <w:r w:rsidR="003126CE" w:rsidRPr="002C13F3">
        <w:rPr>
          <w:rStyle w:val="Refdenotaalpie"/>
          <w:rFonts w:ascii="Century" w:hAnsi="Century"/>
          <w:sz w:val="24"/>
          <w:szCs w:val="24"/>
        </w:rPr>
        <w:footnoteReference w:id="64"/>
      </w:r>
      <w:r w:rsidR="003126CE" w:rsidRPr="002C13F3">
        <w:rPr>
          <w:rFonts w:ascii="Century" w:hAnsi="Century"/>
          <w:sz w:val="24"/>
          <w:szCs w:val="24"/>
        </w:rPr>
        <w:t>.</w:t>
      </w:r>
    </w:p>
    <w:p w:rsidR="003126CE" w:rsidRPr="002C13F3" w:rsidRDefault="00DD2662" w:rsidP="00B95B9B">
      <w:pPr>
        <w:spacing w:after="240" w:line="360" w:lineRule="auto"/>
        <w:ind w:firstLine="708"/>
        <w:jc w:val="both"/>
        <w:rPr>
          <w:rFonts w:ascii="Century" w:hAnsi="Century"/>
          <w:sz w:val="24"/>
          <w:szCs w:val="24"/>
        </w:rPr>
      </w:pPr>
      <w:r>
        <w:rPr>
          <w:rFonts w:ascii="Century" w:hAnsi="Century"/>
          <w:sz w:val="24"/>
          <w:szCs w:val="24"/>
        </w:rPr>
        <w:t xml:space="preserve">Ahora bien, el resto de medidas de reducción o deducción previstas, según CCAA, generan importantes distorsiones. </w:t>
      </w:r>
      <w:r w:rsidR="003A7B37" w:rsidRPr="002C13F3">
        <w:rPr>
          <w:rFonts w:ascii="Century" w:hAnsi="Century"/>
          <w:sz w:val="24"/>
          <w:szCs w:val="24"/>
        </w:rPr>
        <w:t>BARBERÁN LAHUERTA</w:t>
      </w:r>
      <w:r w:rsidR="00E8123D" w:rsidRPr="002C13F3">
        <w:rPr>
          <w:rFonts w:ascii="Century" w:hAnsi="Century"/>
          <w:sz w:val="24"/>
          <w:szCs w:val="24"/>
        </w:rPr>
        <w:t xml:space="preserve"> </w:t>
      </w:r>
      <w:r w:rsidR="00E26606">
        <w:rPr>
          <w:rFonts w:ascii="Century" w:hAnsi="Century"/>
          <w:sz w:val="24"/>
          <w:szCs w:val="24"/>
        </w:rPr>
        <w:t xml:space="preserve">establece que </w:t>
      </w:r>
      <w:r w:rsidR="00E8123D" w:rsidRPr="002C13F3">
        <w:rPr>
          <w:rFonts w:ascii="Century" w:hAnsi="Century"/>
          <w:sz w:val="24"/>
          <w:szCs w:val="24"/>
        </w:rPr>
        <w:t>el sistema tributario español permite</w:t>
      </w:r>
      <w:r w:rsidR="003126CE" w:rsidRPr="002C13F3">
        <w:rPr>
          <w:rFonts w:ascii="Century" w:hAnsi="Century"/>
          <w:sz w:val="24"/>
          <w:szCs w:val="24"/>
        </w:rPr>
        <w:t xml:space="preserve"> otorgar difere</w:t>
      </w:r>
      <w:r w:rsidR="00B07A97">
        <w:rPr>
          <w:rFonts w:ascii="Century" w:hAnsi="Century"/>
          <w:sz w:val="24"/>
          <w:szCs w:val="24"/>
        </w:rPr>
        <w:t>ncias en el tratamiento del ISUC</w:t>
      </w:r>
      <w:r w:rsidR="003126CE" w:rsidRPr="002C13F3">
        <w:rPr>
          <w:rFonts w:ascii="Century" w:hAnsi="Century"/>
          <w:sz w:val="24"/>
          <w:szCs w:val="24"/>
        </w:rPr>
        <w:t xml:space="preserve"> entre</w:t>
      </w:r>
      <w:r w:rsidR="000E2894" w:rsidRPr="002C13F3">
        <w:rPr>
          <w:rFonts w:ascii="Century" w:hAnsi="Century"/>
          <w:sz w:val="24"/>
          <w:szCs w:val="24"/>
        </w:rPr>
        <w:t xml:space="preserve"> distintos territorios. </w:t>
      </w:r>
      <w:r w:rsidR="00E26606">
        <w:rPr>
          <w:rFonts w:ascii="Century" w:hAnsi="Century"/>
          <w:sz w:val="24"/>
          <w:szCs w:val="24"/>
        </w:rPr>
        <w:t>Así</w:t>
      </w:r>
      <w:r w:rsidR="00DB3438">
        <w:rPr>
          <w:rFonts w:ascii="Century" w:hAnsi="Century"/>
          <w:sz w:val="24"/>
          <w:szCs w:val="24"/>
        </w:rPr>
        <w:t>, a</w:t>
      </w:r>
      <w:r w:rsidR="000E2894" w:rsidRPr="002C13F3">
        <w:rPr>
          <w:rFonts w:ascii="Century" w:hAnsi="Century"/>
          <w:sz w:val="24"/>
          <w:szCs w:val="24"/>
        </w:rPr>
        <w:t>l tener</w:t>
      </w:r>
      <w:r w:rsidR="003126CE" w:rsidRPr="002C13F3">
        <w:rPr>
          <w:rFonts w:ascii="Century" w:hAnsi="Century"/>
          <w:sz w:val="24"/>
          <w:szCs w:val="24"/>
        </w:rPr>
        <w:t xml:space="preserve"> las CCAA su propia autonomía</w:t>
      </w:r>
      <w:r w:rsidR="000E2894" w:rsidRPr="002C13F3">
        <w:rPr>
          <w:rFonts w:ascii="Century" w:hAnsi="Century"/>
          <w:sz w:val="24"/>
          <w:szCs w:val="24"/>
        </w:rPr>
        <w:t xml:space="preserve"> y poder normativo financiero</w:t>
      </w:r>
      <w:r w:rsidR="00DB3438">
        <w:rPr>
          <w:rFonts w:ascii="Century" w:hAnsi="Century"/>
          <w:sz w:val="24"/>
          <w:szCs w:val="24"/>
        </w:rPr>
        <w:t xml:space="preserve"> en el</w:t>
      </w:r>
      <w:r w:rsidR="003126CE" w:rsidRPr="002C13F3">
        <w:rPr>
          <w:rFonts w:ascii="Century" w:hAnsi="Century"/>
          <w:sz w:val="24"/>
          <w:szCs w:val="24"/>
        </w:rPr>
        <w:t xml:space="preserve"> impuesto, </w:t>
      </w:r>
      <w:r w:rsidR="000E2894" w:rsidRPr="002C13F3">
        <w:rPr>
          <w:rFonts w:ascii="Century" w:hAnsi="Century"/>
          <w:sz w:val="24"/>
          <w:szCs w:val="24"/>
        </w:rPr>
        <w:t>se</w:t>
      </w:r>
      <w:r w:rsidR="003126CE" w:rsidRPr="002C13F3">
        <w:rPr>
          <w:rFonts w:ascii="Century" w:hAnsi="Century"/>
          <w:sz w:val="24"/>
          <w:szCs w:val="24"/>
        </w:rPr>
        <w:t xml:space="preserve"> puede</w:t>
      </w:r>
      <w:r w:rsidR="000E2894" w:rsidRPr="002C13F3">
        <w:rPr>
          <w:rFonts w:ascii="Century" w:hAnsi="Century"/>
          <w:sz w:val="24"/>
          <w:szCs w:val="24"/>
        </w:rPr>
        <w:t xml:space="preserve"> llegar a</w:t>
      </w:r>
      <w:r w:rsidR="003126CE" w:rsidRPr="002C13F3">
        <w:rPr>
          <w:rFonts w:ascii="Century" w:hAnsi="Century"/>
          <w:sz w:val="24"/>
          <w:szCs w:val="24"/>
        </w:rPr>
        <w:t xml:space="preserve"> “que se generalicen situaciones de falta d</w:t>
      </w:r>
      <w:r w:rsidR="000E2894" w:rsidRPr="002C13F3">
        <w:rPr>
          <w:rFonts w:ascii="Century" w:hAnsi="Century"/>
          <w:sz w:val="24"/>
          <w:szCs w:val="24"/>
        </w:rPr>
        <w:t>e equidad o de discriminación entre</w:t>
      </w:r>
      <w:r w:rsidR="003126CE" w:rsidRPr="002C13F3">
        <w:rPr>
          <w:rFonts w:ascii="Century" w:hAnsi="Century"/>
          <w:sz w:val="24"/>
          <w:szCs w:val="24"/>
        </w:rPr>
        <w:t xml:space="preserve"> ciudadanos</w:t>
      </w:r>
      <w:r w:rsidR="000E2894" w:rsidRPr="002C13F3">
        <w:rPr>
          <w:rFonts w:ascii="Century" w:hAnsi="Century"/>
          <w:sz w:val="24"/>
          <w:szCs w:val="24"/>
        </w:rPr>
        <w:t>,</w:t>
      </w:r>
      <w:r w:rsidR="003126CE" w:rsidRPr="002C13F3">
        <w:rPr>
          <w:rFonts w:ascii="Century" w:hAnsi="Century"/>
          <w:sz w:val="24"/>
          <w:szCs w:val="24"/>
        </w:rPr>
        <w:t xml:space="preserve"> simplemente por razón del territorio</w:t>
      </w:r>
      <w:r w:rsidR="000E2894" w:rsidRPr="002C13F3">
        <w:rPr>
          <w:rFonts w:ascii="Century" w:hAnsi="Century"/>
          <w:sz w:val="24"/>
          <w:szCs w:val="24"/>
        </w:rPr>
        <w:t>, aunque entre ellos concurra</w:t>
      </w:r>
      <w:r w:rsidR="003126CE" w:rsidRPr="002C13F3">
        <w:rPr>
          <w:rFonts w:ascii="Century" w:hAnsi="Century"/>
          <w:sz w:val="24"/>
          <w:szCs w:val="24"/>
        </w:rPr>
        <w:t>n</w:t>
      </w:r>
      <w:r w:rsidR="00DB3438">
        <w:rPr>
          <w:rFonts w:ascii="Century" w:hAnsi="Century"/>
          <w:sz w:val="24"/>
          <w:szCs w:val="24"/>
        </w:rPr>
        <w:t xml:space="preserve"> una capacidad de pago similar”, lo que</w:t>
      </w:r>
      <w:r w:rsidR="003126CE" w:rsidRPr="002C13F3">
        <w:rPr>
          <w:rFonts w:ascii="Century" w:hAnsi="Century"/>
          <w:sz w:val="24"/>
          <w:szCs w:val="24"/>
        </w:rPr>
        <w:t xml:space="preserve"> </w:t>
      </w:r>
      <w:r w:rsidR="000E2894" w:rsidRPr="002C13F3">
        <w:rPr>
          <w:rFonts w:ascii="Century" w:hAnsi="Century"/>
          <w:sz w:val="24"/>
          <w:szCs w:val="24"/>
        </w:rPr>
        <w:t>puede</w:t>
      </w:r>
      <w:r w:rsidR="00DB3438">
        <w:rPr>
          <w:rFonts w:ascii="Century" w:hAnsi="Century"/>
          <w:sz w:val="24"/>
          <w:szCs w:val="24"/>
        </w:rPr>
        <w:t xml:space="preserve"> atentar contra el</w:t>
      </w:r>
      <w:r w:rsidR="003126CE" w:rsidRPr="002C13F3">
        <w:rPr>
          <w:rFonts w:ascii="Century" w:hAnsi="Century"/>
          <w:sz w:val="24"/>
          <w:szCs w:val="24"/>
        </w:rPr>
        <w:t xml:space="preserve"> principio de igualdad y </w:t>
      </w:r>
      <w:r w:rsidR="00DB3438">
        <w:rPr>
          <w:rFonts w:ascii="Century" w:hAnsi="Century"/>
          <w:sz w:val="24"/>
          <w:szCs w:val="24"/>
        </w:rPr>
        <w:t>e</w:t>
      </w:r>
      <w:r w:rsidR="000E2894" w:rsidRPr="002C13F3">
        <w:rPr>
          <w:rFonts w:ascii="Century" w:hAnsi="Century"/>
          <w:sz w:val="24"/>
          <w:szCs w:val="24"/>
        </w:rPr>
        <w:t xml:space="preserve">l </w:t>
      </w:r>
      <w:r w:rsidR="003126CE" w:rsidRPr="002C13F3">
        <w:rPr>
          <w:rFonts w:ascii="Century" w:hAnsi="Century"/>
          <w:sz w:val="24"/>
          <w:szCs w:val="24"/>
        </w:rPr>
        <w:t>de generalidad</w:t>
      </w:r>
      <w:r w:rsidR="000E2894" w:rsidRPr="002C13F3">
        <w:rPr>
          <w:rFonts w:ascii="Century" w:hAnsi="Century"/>
          <w:sz w:val="24"/>
          <w:szCs w:val="24"/>
        </w:rPr>
        <w:t xml:space="preserve">. El </w:t>
      </w:r>
      <w:r w:rsidR="003126CE" w:rsidRPr="002C13F3">
        <w:rPr>
          <w:rFonts w:ascii="Century" w:hAnsi="Century"/>
          <w:sz w:val="24"/>
          <w:szCs w:val="24"/>
        </w:rPr>
        <w:t>hecho de atribuir competencias</w:t>
      </w:r>
      <w:r w:rsidR="000E2894" w:rsidRPr="002C13F3">
        <w:rPr>
          <w:rFonts w:ascii="Century" w:hAnsi="Century"/>
          <w:sz w:val="24"/>
          <w:szCs w:val="24"/>
        </w:rPr>
        <w:t xml:space="preserve"> normativas</w:t>
      </w:r>
      <w:r w:rsidR="003126CE" w:rsidRPr="002C13F3">
        <w:rPr>
          <w:rFonts w:ascii="Century" w:hAnsi="Century"/>
          <w:sz w:val="24"/>
          <w:szCs w:val="24"/>
        </w:rPr>
        <w:t xml:space="preserve"> de este impuesto a las CCAA, </w:t>
      </w:r>
      <w:r w:rsidR="00DB3438">
        <w:rPr>
          <w:rFonts w:ascii="Century" w:hAnsi="Century"/>
          <w:sz w:val="24"/>
          <w:szCs w:val="24"/>
        </w:rPr>
        <w:t>ha llevado</w:t>
      </w:r>
      <w:r w:rsidR="000E2894" w:rsidRPr="002C13F3">
        <w:rPr>
          <w:rFonts w:ascii="Century" w:hAnsi="Century"/>
          <w:sz w:val="24"/>
          <w:szCs w:val="24"/>
        </w:rPr>
        <w:t xml:space="preserve"> a </w:t>
      </w:r>
      <w:r w:rsidR="00E26606">
        <w:rPr>
          <w:rFonts w:ascii="Century" w:hAnsi="Century"/>
          <w:sz w:val="24"/>
          <w:szCs w:val="24"/>
        </w:rPr>
        <w:t xml:space="preserve">modificar las tarifas, </w:t>
      </w:r>
      <w:r w:rsidR="000E2894" w:rsidRPr="002C13F3">
        <w:rPr>
          <w:rFonts w:ascii="Century" w:hAnsi="Century"/>
          <w:sz w:val="24"/>
          <w:szCs w:val="24"/>
        </w:rPr>
        <w:t>las</w:t>
      </w:r>
      <w:r w:rsidR="003126CE" w:rsidRPr="002C13F3">
        <w:rPr>
          <w:rFonts w:ascii="Century" w:hAnsi="Century"/>
          <w:sz w:val="24"/>
          <w:szCs w:val="24"/>
        </w:rPr>
        <w:t xml:space="preserve"> reducciones</w:t>
      </w:r>
      <w:r w:rsidR="00DB3438">
        <w:rPr>
          <w:rFonts w:ascii="Century" w:hAnsi="Century"/>
          <w:sz w:val="24"/>
          <w:szCs w:val="24"/>
        </w:rPr>
        <w:t>, bonificaciones y deducciones</w:t>
      </w:r>
      <w:r w:rsidR="003126CE" w:rsidRPr="002C13F3">
        <w:rPr>
          <w:rFonts w:ascii="Century" w:hAnsi="Century"/>
          <w:sz w:val="24"/>
          <w:szCs w:val="24"/>
        </w:rPr>
        <w:t xml:space="preserve">, </w:t>
      </w:r>
      <w:r w:rsidR="000E2894" w:rsidRPr="002C13F3">
        <w:rPr>
          <w:rFonts w:ascii="Century" w:hAnsi="Century"/>
          <w:sz w:val="24"/>
          <w:szCs w:val="24"/>
        </w:rPr>
        <w:t xml:space="preserve">produciendo </w:t>
      </w:r>
      <w:r w:rsidR="003126CE" w:rsidRPr="002C13F3">
        <w:rPr>
          <w:rFonts w:ascii="Century" w:hAnsi="Century"/>
          <w:sz w:val="24"/>
          <w:szCs w:val="24"/>
        </w:rPr>
        <w:t>diferencias</w:t>
      </w:r>
      <w:r w:rsidR="000E2894" w:rsidRPr="002C13F3">
        <w:rPr>
          <w:rFonts w:ascii="Century" w:hAnsi="Century"/>
          <w:sz w:val="24"/>
          <w:szCs w:val="24"/>
        </w:rPr>
        <w:t xml:space="preserve"> injustificadas</w:t>
      </w:r>
      <w:r w:rsidR="003126CE" w:rsidRPr="002C13F3">
        <w:rPr>
          <w:rFonts w:ascii="Century" w:hAnsi="Century"/>
          <w:sz w:val="24"/>
          <w:szCs w:val="24"/>
        </w:rPr>
        <w:t xml:space="preserve"> entre las</w:t>
      </w:r>
      <w:r w:rsidR="000E2894" w:rsidRPr="002C13F3">
        <w:rPr>
          <w:rFonts w:ascii="Century" w:hAnsi="Century"/>
          <w:sz w:val="24"/>
          <w:szCs w:val="24"/>
        </w:rPr>
        <w:t xml:space="preserve"> CCAA</w:t>
      </w:r>
      <w:r w:rsidR="003126CE" w:rsidRPr="002C13F3">
        <w:rPr>
          <w:rFonts w:ascii="Century" w:hAnsi="Century"/>
          <w:sz w:val="24"/>
          <w:szCs w:val="24"/>
        </w:rPr>
        <w:t xml:space="preserve">. </w:t>
      </w:r>
      <w:r w:rsidR="00E471EF" w:rsidRPr="002C13F3">
        <w:rPr>
          <w:rFonts w:ascii="Century" w:hAnsi="Century"/>
          <w:sz w:val="24"/>
          <w:szCs w:val="24"/>
        </w:rPr>
        <w:t>E</w:t>
      </w:r>
      <w:r w:rsidR="003126CE" w:rsidRPr="002C13F3">
        <w:rPr>
          <w:rFonts w:ascii="Century" w:hAnsi="Century"/>
          <w:sz w:val="24"/>
          <w:szCs w:val="24"/>
        </w:rPr>
        <w:t>l legislador</w:t>
      </w:r>
      <w:r w:rsidR="00E471EF" w:rsidRPr="002C13F3">
        <w:rPr>
          <w:rFonts w:ascii="Century" w:hAnsi="Century"/>
          <w:sz w:val="24"/>
          <w:szCs w:val="24"/>
        </w:rPr>
        <w:t xml:space="preserve"> debe</w:t>
      </w:r>
      <w:r w:rsidR="00DB3438">
        <w:rPr>
          <w:rFonts w:ascii="Century" w:hAnsi="Century"/>
          <w:sz w:val="24"/>
          <w:szCs w:val="24"/>
        </w:rPr>
        <w:t xml:space="preserve"> controlar que se graven</w:t>
      </w:r>
      <w:r w:rsidR="003126CE" w:rsidRPr="002C13F3">
        <w:rPr>
          <w:rFonts w:ascii="Century" w:hAnsi="Century"/>
          <w:sz w:val="24"/>
          <w:szCs w:val="24"/>
        </w:rPr>
        <w:t xml:space="preserve"> </w:t>
      </w:r>
      <w:r w:rsidR="00DB3438">
        <w:rPr>
          <w:rFonts w:ascii="Century" w:hAnsi="Century"/>
          <w:sz w:val="24"/>
          <w:szCs w:val="24"/>
        </w:rPr>
        <w:t>objetivamente igual</w:t>
      </w:r>
      <w:r w:rsidR="003126CE" w:rsidRPr="002C13F3">
        <w:rPr>
          <w:rFonts w:ascii="Century" w:hAnsi="Century"/>
          <w:sz w:val="24"/>
          <w:szCs w:val="24"/>
        </w:rPr>
        <w:t xml:space="preserve"> todas aquellas situaciones que tengan </w:t>
      </w:r>
      <w:r w:rsidR="00DB3438">
        <w:rPr>
          <w:rFonts w:ascii="Century" w:hAnsi="Century"/>
          <w:sz w:val="24"/>
          <w:szCs w:val="24"/>
        </w:rPr>
        <w:t xml:space="preserve">igual </w:t>
      </w:r>
      <w:r w:rsidR="003126CE" w:rsidRPr="002C13F3">
        <w:rPr>
          <w:rFonts w:ascii="Century" w:hAnsi="Century"/>
          <w:sz w:val="24"/>
          <w:szCs w:val="24"/>
        </w:rPr>
        <w:t>capacidad económica</w:t>
      </w:r>
      <w:r w:rsidR="00DB3438">
        <w:rPr>
          <w:rFonts w:ascii="Century" w:hAnsi="Century"/>
          <w:sz w:val="24"/>
          <w:szCs w:val="24"/>
        </w:rPr>
        <w:t>, y subjetivamente</w:t>
      </w:r>
      <w:r w:rsidR="003126CE" w:rsidRPr="002C13F3">
        <w:rPr>
          <w:rFonts w:ascii="Century" w:hAnsi="Century"/>
          <w:sz w:val="24"/>
          <w:szCs w:val="24"/>
        </w:rPr>
        <w:t xml:space="preserve"> a toda persona que se </w:t>
      </w:r>
      <w:r w:rsidR="003126CE" w:rsidRPr="002C13F3">
        <w:rPr>
          <w:rFonts w:ascii="Century" w:hAnsi="Century"/>
          <w:sz w:val="24"/>
          <w:szCs w:val="24"/>
        </w:rPr>
        <w:lastRenderedPageBreak/>
        <w:t>encuentre en dicha situación, sin</w:t>
      </w:r>
      <w:r w:rsidR="00DB3438">
        <w:rPr>
          <w:rFonts w:ascii="Century" w:hAnsi="Century"/>
          <w:sz w:val="24"/>
          <w:szCs w:val="24"/>
        </w:rPr>
        <w:t xml:space="preserve"> que puedan quedar excluidos los hechos o los sujetos,</w:t>
      </w:r>
      <w:r w:rsidR="003126CE" w:rsidRPr="002C13F3">
        <w:rPr>
          <w:rFonts w:ascii="Century" w:hAnsi="Century"/>
          <w:sz w:val="24"/>
          <w:szCs w:val="24"/>
        </w:rPr>
        <w:t xml:space="preserve"> de forma arbitraria</w:t>
      </w:r>
      <w:r w:rsidR="00E471EF" w:rsidRPr="002C13F3">
        <w:rPr>
          <w:rFonts w:ascii="Century" w:hAnsi="Century"/>
          <w:sz w:val="24"/>
          <w:szCs w:val="24"/>
        </w:rPr>
        <w:t xml:space="preserve"> o injustificada</w:t>
      </w:r>
      <w:r w:rsidR="003126CE" w:rsidRPr="002C13F3">
        <w:rPr>
          <w:rStyle w:val="Refdenotaalpie"/>
          <w:rFonts w:ascii="Century" w:hAnsi="Century"/>
          <w:sz w:val="24"/>
          <w:szCs w:val="24"/>
        </w:rPr>
        <w:footnoteReference w:id="65"/>
      </w:r>
      <w:r w:rsidR="003126CE" w:rsidRPr="002C13F3">
        <w:rPr>
          <w:rFonts w:ascii="Century" w:hAnsi="Century"/>
          <w:sz w:val="24"/>
          <w:szCs w:val="24"/>
        </w:rPr>
        <w:t>.</w:t>
      </w:r>
    </w:p>
    <w:p w:rsidR="00860F20" w:rsidRDefault="0042487F" w:rsidP="0042487F">
      <w:pPr>
        <w:spacing w:after="240" w:line="360" w:lineRule="auto"/>
        <w:jc w:val="both"/>
        <w:rPr>
          <w:rFonts w:ascii="Century" w:hAnsi="Century"/>
          <w:sz w:val="24"/>
          <w:szCs w:val="24"/>
        </w:rPr>
      </w:pPr>
      <w:r>
        <w:rPr>
          <w:rFonts w:ascii="Century" w:hAnsi="Century"/>
          <w:sz w:val="24"/>
          <w:szCs w:val="24"/>
        </w:rPr>
        <w:tab/>
      </w:r>
      <w:r w:rsidR="003126CE" w:rsidRPr="002C13F3">
        <w:rPr>
          <w:rFonts w:ascii="Century" w:hAnsi="Century"/>
          <w:sz w:val="24"/>
          <w:szCs w:val="24"/>
        </w:rPr>
        <w:t>En conclusión, lo que el principio de igualdad trata de</w:t>
      </w:r>
      <w:r w:rsidR="00E471EF" w:rsidRPr="002C13F3">
        <w:rPr>
          <w:rFonts w:ascii="Century" w:hAnsi="Century"/>
          <w:sz w:val="24"/>
          <w:szCs w:val="24"/>
        </w:rPr>
        <w:t xml:space="preserve"> exigir</w:t>
      </w:r>
      <w:r w:rsidR="003126CE" w:rsidRPr="002C13F3">
        <w:rPr>
          <w:rFonts w:ascii="Century" w:hAnsi="Century"/>
          <w:sz w:val="24"/>
          <w:szCs w:val="24"/>
        </w:rPr>
        <w:t xml:space="preserve"> es</w:t>
      </w:r>
      <w:r w:rsidR="00E471EF" w:rsidRPr="002C13F3">
        <w:rPr>
          <w:rFonts w:ascii="Century" w:hAnsi="Century"/>
          <w:sz w:val="24"/>
          <w:szCs w:val="24"/>
        </w:rPr>
        <w:t xml:space="preserve"> la prohibición</w:t>
      </w:r>
      <w:r w:rsidR="003126CE" w:rsidRPr="002C13F3">
        <w:rPr>
          <w:rFonts w:ascii="Century" w:hAnsi="Century"/>
          <w:sz w:val="24"/>
          <w:szCs w:val="24"/>
        </w:rPr>
        <w:t xml:space="preserve"> de contribuyentes privilegiados en el territorio nacional, </w:t>
      </w:r>
      <w:r w:rsidR="00E471EF" w:rsidRPr="002C13F3">
        <w:rPr>
          <w:rFonts w:ascii="Century" w:hAnsi="Century"/>
          <w:sz w:val="24"/>
          <w:szCs w:val="24"/>
        </w:rPr>
        <w:t>incentivando</w:t>
      </w:r>
      <w:r w:rsidR="003126CE" w:rsidRPr="002C13F3">
        <w:rPr>
          <w:rFonts w:ascii="Century" w:hAnsi="Century"/>
          <w:sz w:val="24"/>
          <w:szCs w:val="24"/>
        </w:rPr>
        <w:t xml:space="preserve"> la igualdad entre todos los obligados tributarios, o lo que es lo mismo, </w:t>
      </w:r>
      <w:r w:rsidR="00486A3C" w:rsidRPr="002C13F3">
        <w:rPr>
          <w:rFonts w:ascii="Century" w:hAnsi="Century"/>
          <w:sz w:val="24"/>
          <w:szCs w:val="24"/>
        </w:rPr>
        <w:t>intenta</w:t>
      </w:r>
      <w:r w:rsidR="00E471EF" w:rsidRPr="002C13F3">
        <w:rPr>
          <w:rFonts w:ascii="Century" w:hAnsi="Century"/>
          <w:sz w:val="24"/>
          <w:szCs w:val="24"/>
        </w:rPr>
        <w:t xml:space="preserve"> evitar </w:t>
      </w:r>
      <w:r w:rsidR="003126CE" w:rsidRPr="002C13F3">
        <w:rPr>
          <w:rFonts w:ascii="Century" w:hAnsi="Century"/>
          <w:sz w:val="24"/>
          <w:szCs w:val="24"/>
        </w:rPr>
        <w:t>la desigualdad tributaria interregional</w:t>
      </w:r>
      <w:r w:rsidR="00E471EF" w:rsidRPr="002C13F3">
        <w:rPr>
          <w:rFonts w:ascii="Century" w:hAnsi="Century"/>
          <w:sz w:val="24"/>
          <w:szCs w:val="24"/>
        </w:rPr>
        <w:t xml:space="preserve"> injustificada</w:t>
      </w:r>
      <w:r w:rsidR="0058396D">
        <w:rPr>
          <w:rFonts w:ascii="Century" w:hAnsi="Century"/>
          <w:sz w:val="24"/>
          <w:szCs w:val="24"/>
        </w:rPr>
        <w:t>, sin que pueda utilizarse como argumento la legítima opción de cada Comunidad Autónoma de atraer capitales fundamentada en su autonomía financiera, puesto que no todos los sujetos disponen de capacidad de movil</w:t>
      </w:r>
      <w:r w:rsidR="00B95B9B">
        <w:rPr>
          <w:rFonts w:ascii="Century" w:hAnsi="Century"/>
          <w:sz w:val="24"/>
          <w:szCs w:val="24"/>
        </w:rPr>
        <w:t>idad</w:t>
      </w:r>
      <w:r w:rsidR="0058396D">
        <w:rPr>
          <w:rFonts w:ascii="Century" w:hAnsi="Century"/>
          <w:sz w:val="24"/>
          <w:szCs w:val="24"/>
        </w:rPr>
        <w:t xml:space="preserve"> entre territorios. </w:t>
      </w:r>
      <w:r w:rsidR="00E471EF" w:rsidRPr="002C13F3">
        <w:rPr>
          <w:rFonts w:ascii="Century" w:hAnsi="Century"/>
          <w:sz w:val="24"/>
          <w:szCs w:val="24"/>
        </w:rPr>
        <w:t xml:space="preserve">De igual modo, </w:t>
      </w:r>
      <w:r w:rsidR="005A17D8">
        <w:rPr>
          <w:rFonts w:ascii="Century" w:hAnsi="Century"/>
          <w:sz w:val="24"/>
          <w:szCs w:val="24"/>
        </w:rPr>
        <w:t xml:space="preserve">debe quedar vetado </w:t>
      </w:r>
      <w:r w:rsidR="00E471EF" w:rsidRPr="002C13F3">
        <w:rPr>
          <w:rFonts w:ascii="Century" w:hAnsi="Century"/>
          <w:sz w:val="24"/>
          <w:szCs w:val="24"/>
        </w:rPr>
        <w:t>el desigual trato fiscal entre residentes y no residentes en</w:t>
      </w:r>
      <w:r w:rsidR="003126CE" w:rsidRPr="002C13F3">
        <w:rPr>
          <w:rFonts w:ascii="Century" w:hAnsi="Century"/>
          <w:sz w:val="24"/>
          <w:szCs w:val="24"/>
        </w:rPr>
        <w:t xml:space="preserve"> territorio español</w:t>
      </w:r>
      <w:r w:rsidR="005A17D8">
        <w:rPr>
          <w:rFonts w:ascii="Century" w:hAnsi="Century"/>
          <w:sz w:val="24"/>
          <w:szCs w:val="24"/>
        </w:rPr>
        <w:t>, que incurre en la posible vulneración de principios comunitarios de libre circulación y no discriminación</w:t>
      </w:r>
      <w:r w:rsidR="003126CE" w:rsidRPr="002C13F3">
        <w:rPr>
          <w:rFonts w:ascii="Century" w:hAnsi="Century"/>
          <w:sz w:val="24"/>
          <w:szCs w:val="24"/>
        </w:rPr>
        <w:t>.</w:t>
      </w:r>
      <w:r w:rsidR="00563DA0" w:rsidRPr="002C13F3">
        <w:rPr>
          <w:rFonts w:ascii="Century" w:hAnsi="Century"/>
          <w:sz w:val="24"/>
          <w:szCs w:val="24"/>
        </w:rPr>
        <w:t xml:space="preserve"> </w:t>
      </w:r>
      <w:r w:rsidR="005A17D8">
        <w:rPr>
          <w:rFonts w:ascii="Century" w:hAnsi="Century"/>
          <w:sz w:val="24"/>
          <w:szCs w:val="24"/>
        </w:rPr>
        <w:t>L</w:t>
      </w:r>
      <w:r w:rsidR="0030008A" w:rsidRPr="002C13F3">
        <w:rPr>
          <w:rFonts w:ascii="Century" w:hAnsi="Century"/>
          <w:sz w:val="24"/>
          <w:szCs w:val="24"/>
        </w:rPr>
        <w:t>a legislación española no ha cumplido con</w:t>
      </w:r>
      <w:r w:rsidR="005A17D8">
        <w:rPr>
          <w:rFonts w:ascii="Century" w:hAnsi="Century"/>
          <w:sz w:val="24"/>
          <w:szCs w:val="24"/>
        </w:rPr>
        <w:t xml:space="preserve"> esta exigencia</w:t>
      </w:r>
      <w:r w:rsidR="0030008A" w:rsidRPr="002C13F3">
        <w:rPr>
          <w:rFonts w:ascii="Century" w:hAnsi="Century"/>
          <w:sz w:val="24"/>
          <w:szCs w:val="24"/>
        </w:rPr>
        <w:t xml:space="preserve">, </w:t>
      </w:r>
      <w:r w:rsidR="005A17D8">
        <w:rPr>
          <w:rFonts w:ascii="Century" w:hAnsi="Century"/>
          <w:sz w:val="24"/>
          <w:szCs w:val="24"/>
        </w:rPr>
        <w:t>desembocando en la denuncia de España por parte de la Comisión Europea ante el TJUE</w:t>
      </w:r>
      <w:r w:rsidR="00B95B9B">
        <w:rPr>
          <w:rFonts w:ascii="Century" w:hAnsi="Century"/>
          <w:sz w:val="24"/>
          <w:szCs w:val="24"/>
        </w:rPr>
        <w:t>, tal y como ahora detallaremos.</w:t>
      </w:r>
    </w:p>
    <w:p w:rsidR="002A1F63" w:rsidRPr="005A17D8" w:rsidRDefault="0030008A" w:rsidP="005B694D">
      <w:pPr>
        <w:spacing w:after="240" w:line="360" w:lineRule="auto"/>
        <w:ind w:left="1418"/>
        <w:jc w:val="both"/>
        <w:rPr>
          <w:rFonts w:ascii="Century" w:hAnsi="Century" w:cstheme="minorHAnsi"/>
          <w:b/>
          <w:sz w:val="24"/>
          <w:szCs w:val="24"/>
        </w:rPr>
      </w:pPr>
      <w:r w:rsidRPr="002C13F3">
        <w:rPr>
          <w:rFonts w:ascii="Century" w:hAnsi="Century"/>
          <w:b/>
          <w:sz w:val="24"/>
          <w:szCs w:val="24"/>
        </w:rPr>
        <w:t>B</w:t>
      </w:r>
      <w:r w:rsidR="00F569CD">
        <w:rPr>
          <w:rFonts w:ascii="Century" w:hAnsi="Century"/>
          <w:b/>
          <w:sz w:val="24"/>
          <w:szCs w:val="24"/>
        </w:rPr>
        <w:t xml:space="preserve"> - </w:t>
      </w:r>
      <w:r w:rsidR="009F3CEE" w:rsidRPr="002C13F3">
        <w:rPr>
          <w:rFonts w:ascii="Century" w:hAnsi="Century"/>
          <w:b/>
          <w:sz w:val="24"/>
          <w:szCs w:val="24"/>
        </w:rPr>
        <w:t>Problemas comun</w:t>
      </w:r>
      <w:r w:rsidR="005A17D8">
        <w:rPr>
          <w:rFonts w:ascii="Century" w:hAnsi="Century"/>
          <w:b/>
          <w:sz w:val="24"/>
          <w:szCs w:val="24"/>
        </w:rPr>
        <w:t>itarios</w:t>
      </w:r>
      <w:r w:rsidR="005A17D8">
        <w:rPr>
          <w:rFonts w:cstheme="minorHAnsi"/>
          <w:b/>
          <w:sz w:val="24"/>
          <w:szCs w:val="24"/>
        </w:rPr>
        <w:t>:</w:t>
      </w:r>
      <w:r w:rsidR="00E168FD">
        <w:rPr>
          <w:rFonts w:ascii="Century" w:hAnsi="Century" w:cstheme="minorHAnsi"/>
          <w:b/>
          <w:sz w:val="24"/>
          <w:szCs w:val="24"/>
        </w:rPr>
        <w:t xml:space="preserve"> V</w:t>
      </w:r>
      <w:r w:rsidR="005A17D8">
        <w:rPr>
          <w:rFonts w:ascii="Century" w:hAnsi="Century" w:cstheme="minorHAnsi"/>
          <w:b/>
          <w:sz w:val="24"/>
          <w:szCs w:val="24"/>
        </w:rPr>
        <w:t xml:space="preserve">ulneración del principio de libre circulación </w:t>
      </w:r>
      <w:r w:rsidR="00E168FD">
        <w:rPr>
          <w:rFonts w:ascii="Century" w:hAnsi="Century" w:cstheme="minorHAnsi"/>
          <w:b/>
          <w:sz w:val="24"/>
          <w:szCs w:val="24"/>
        </w:rPr>
        <w:t>y no discriminación</w:t>
      </w:r>
    </w:p>
    <w:p w:rsidR="005A17D8" w:rsidRDefault="0042487F" w:rsidP="0042487F">
      <w:pPr>
        <w:spacing w:after="240" w:line="360" w:lineRule="auto"/>
        <w:jc w:val="both"/>
        <w:rPr>
          <w:rFonts w:ascii="Century" w:hAnsi="Century" w:cs="Arial"/>
          <w:sz w:val="24"/>
          <w:szCs w:val="24"/>
        </w:rPr>
      </w:pPr>
      <w:r>
        <w:rPr>
          <w:rFonts w:ascii="Century" w:hAnsi="Century" w:cs="Arial"/>
          <w:sz w:val="24"/>
          <w:szCs w:val="24"/>
        </w:rPr>
        <w:tab/>
      </w:r>
      <w:r w:rsidR="008E5DB2" w:rsidRPr="002C13F3">
        <w:rPr>
          <w:rFonts w:ascii="Century" w:hAnsi="Century" w:cs="Arial"/>
          <w:sz w:val="24"/>
          <w:szCs w:val="24"/>
        </w:rPr>
        <w:t>Nuestr</w:t>
      </w:r>
      <w:r w:rsidR="003126CE" w:rsidRPr="002C13F3">
        <w:rPr>
          <w:rFonts w:ascii="Century" w:hAnsi="Century" w:cs="Arial"/>
          <w:sz w:val="24"/>
          <w:szCs w:val="24"/>
        </w:rPr>
        <w:t>a normativa</w:t>
      </w:r>
      <w:r w:rsidR="008E5DB2" w:rsidRPr="002C13F3">
        <w:rPr>
          <w:rFonts w:ascii="Century" w:hAnsi="Century" w:cs="Arial"/>
          <w:sz w:val="24"/>
          <w:szCs w:val="24"/>
        </w:rPr>
        <w:t xml:space="preserve"> interna</w:t>
      </w:r>
      <w:r w:rsidR="003126CE" w:rsidRPr="002C13F3">
        <w:rPr>
          <w:rFonts w:ascii="Century" w:hAnsi="Century" w:cs="Arial"/>
          <w:sz w:val="24"/>
          <w:szCs w:val="24"/>
        </w:rPr>
        <w:t xml:space="preserve"> sobre e</w:t>
      </w:r>
      <w:r w:rsidR="00B07A97">
        <w:rPr>
          <w:rFonts w:ascii="Century" w:hAnsi="Century" w:cs="Arial"/>
          <w:sz w:val="24"/>
          <w:szCs w:val="24"/>
        </w:rPr>
        <w:t>l ISUC</w:t>
      </w:r>
      <w:r w:rsidR="008E5DB2" w:rsidRPr="002C13F3">
        <w:rPr>
          <w:rFonts w:ascii="Century" w:hAnsi="Century" w:cs="Arial"/>
          <w:sz w:val="24"/>
          <w:szCs w:val="24"/>
        </w:rPr>
        <w:t xml:space="preserve"> ha generado importantes controversias con relación al Derecho de la UE. La jurisprudencia comunitaria ha revisado en este sentido la diferencia de trato dada por la legislación española entre residentes y no residentes</w:t>
      </w:r>
      <w:r w:rsidR="005A17D8">
        <w:rPr>
          <w:rFonts w:ascii="Century" w:hAnsi="Century" w:cs="Arial"/>
          <w:sz w:val="24"/>
          <w:szCs w:val="24"/>
        </w:rPr>
        <w:t>,</w:t>
      </w:r>
      <w:r w:rsidR="008E5DB2" w:rsidRPr="002C13F3">
        <w:rPr>
          <w:rFonts w:ascii="Century" w:hAnsi="Century" w:cs="Arial"/>
          <w:sz w:val="24"/>
          <w:szCs w:val="24"/>
        </w:rPr>
        <w:t xml:space="preserve"> desarrollando un procedimiento contra el Reino de España por infrac</w:t>
      </w:r>
      <w:r w:rsidR="005A17D8">
        <w:rPr>
          <w:rFonts w:ascii="Century" w:hAnsi="Century" w:cs="Arial"/>
          <w:sz w:val="24"/>
          <w:szCs w:val="24"/>
        </w:rPr>
        <w:t>ción de la normativa europea. Y es que han sido</w:t>
      </w:r>
      <w:r w:rsidR="003126CE" w:rsidRPr="002C13F3">
        <w:rPr>
          <w:rFonts w:ascii="Century" w:hAnsi="Century" w:cs="Arial"/>
          <w:sz w:val="24"/>
          <w:szCs w:val="24"/>
        </w:rPr>
        <w:t xml:space="preserve"> varias las ocasiones que la Comisión Europea ha solicitado </w:t>
      </w:r>
      <w:r w:rsidR="0030008A" w:rsidRPr="002C13F3">
        <w:rPr>
          <w:rFonts w:ascii="Century" w:hAnsi="Century" w:cs="Arial"/>
          <w:sz w:val="24"/>
          <w:szCs w:val="24"/>
        </w:rPr>
        <w:t>del Gobierno español la reforma de</w:t>
      </w:r>
      <w:r w:rsidR="008E5DB2" w:rsidRPr="002C13F3">
        <w:rPr>
          <w:rFonts w:ascii="Century" w:hAnsi="Century" w:cs="Arial"/>
          <w:sz w:val="24"/>
          <w:szCs w:val="24"/>
        </w:rPr>
        <w:t xml:space="preserve"> </w:t>
      </w:r>
      <w:r w:rsidR="00A24499" w:rsidRPr="002C13F3">
        <w:rPr>
          <w:rFonts w:ascii="Century" w:hAnsi="Century" w:cs="Arial"/>
          <w:sz w:val="24"/>
          <w:szCs w:val="24"/>
        </w:rPr>
        <w:t>su</w:t>
      </w:r>
      <w:r w:rsidR="003126CE" w:rsidRPr="002C13F3">
        <w:rPr>
          <w:rFonts w:ascii="Century" w:hAnsi="Century" w:cs="Arial"/>
          <w:sz w:val="24"/>
          <w:szCs w:val="24"/>
        </w:rPr>
        <w:t xml:space="preserve"> legislación interna</w:t>
      </w:r>
      <w:r w:rsidR="008E5DB2" w:rsidRPr="002C13F3">
        <w:rPr>
          <w:rFonts w:ascii="Century" w:hAnsi="Century" w:cs="Arial"/>
          <w:sz w:val="24"/>
          <w:szCs w:val="24"/>
        </w:rPr>
        <w:t xml:space="preserve"> del </w:t>
      </w:r>
      <w:r w:rsidR="008E5DB2" w:rsidRPr="002C13F3">
        <w:rPr>
          <w:rFonts w:ascii="Century" w:hAnsi="Century" w:cs="Arial"/>
          <w:sz w:val="24"/>
          <w:szCs w:val="24"/>
        </w:rPr>
        <w:lastRenderedPageBreak/>
        <w:t>impuesto por</w:t>
      </w:r>
      <w:r w:rsidR="0030008A" w:rsidRPr="002C13F3">
        <w:rPr>
          <w:rFonts w:ascii="Century" w:hAnsi="Century" w:cs="Arial"/>
          <w:sz w:val="24"/>
          <w:szCs w:val="24"/>
        </w:rPr>
        <w:t xml:space="preserve"> dicha</w:t>
      </w:r>
      <w:r w:rsidR="008E5DB2" w:rsidRPr="002C13F3">
        <w:rPr>
          <w:rFonts w:ascii="Century" w:hAnsi="Century" w:cs="Arial"/>
          <w:sz w:val="24"/>
          <w:szCs w:val="24"/>
        </w:rPr>
        <w:t xml:space="preserve"> infracción, en especial por lo referente a</w:t>
      </w:r>
      <w:r w:rsidR="003126CE" w:rsidRPr="002C13F3">
        <w:rPr>
          <w:rFonts w:ascii="Century" w:hAnsi="Century" w:cs="Arial"/>
          <w:sz w:val="24"/>
          <w:szCs w:val="24"/>
        </w:rPr>
        <w:t xml:space="preserve"> la libre circulación de capitales</w:t>
      </w:r>
      <w:r w:rsidR="00A24499" w:rsidRPr="002C13F3">
        <w:rPr>
          <w:rFonts w:ascii="Century" w:hAnsi="Century" w:cs="Arial"/>
          <w:sz w:val="24"/>
          <w:szCs w:val="24"/>
        </w:rPr>
        <w:t xml:space="preserve">. </w:t>
      </w:r>
    </w:p>
    <w:p w:rsidR="003126CE" w:rsidRPr="002C13F3" w:rsidRDefault="0042487F" w:rsidP="0042487F">
      <w:pPr>
        <w:spacing w:after="240" w:line="360" w:lineRule="auto"/>
        <w:jc w:val="both"/>
        <w:rPr>
          <w:rFonts w:ascii="Century" w:hAnsi="Century" w:cs="Arial"/>
          <w:sz w:val="24"/>
          <w:szCs w:val="24"/>
        </w:rPr>
      </w:pPr>
      <w:r>
        <w:rPr>
          <w:rFonts w:ascii="Century" w:hAnsi="Century" w:cs="Arial"/>
          <w:sz w:val="24"/>
          <w:szCs w:val="24"/>
        </w:rPr>
        <w:tab/>
      </w:r>
      <w:r w:rsidR="005A17D8">
        <w:rPr>
          <w:rFonts w:ascii="Century" w:hAnsi="Century" w:cs="Arial"/>
          <w:sz w:val="24"/>
          <w:szCs w:val="24"/>
        </w:rPr>
        <w:t>L</w:t>
      </w:r>
      <w:r w:rsidR="00A24499" w:rsidRPr="002C13F3">
        <w:rPr>
          <w:rFonts w:ascii="Century" w:hAnsi="Century" w:cs="Arial"/>
          <w:sz w:val="24"/>
          <w:szCs w:val="24"/>
        </w:rPr>
        <w:t xml:space="preserve">a Comisión mantiene en </w:t>
      </w:r>
      <w:r w:rsidR="00677E6B">
        <w:rPr>
          <w:rFonts w:ascii="Century" w:hAnsi="Century" w:cs="Arial"/>
          <w:sz w:val="24"/>
          <w:szCs w:val="24"/>
        </w:rPr>
        <w:t>su</w:t>
      </w:r>
      <w:r w:rsidR="00A24499" w:rsidRPr="002C13F3">
        <w:rPr>
          <w:rFonts w:ascii="Century" w:hAnsi="Century" w:cs="Arial"/>
          <w:sz w:val="24"/>
          <w:szCs w:val="24"/>
        </w:rPr>
        <w:t xml:space="preserve"> demanda </w:t>
      </w:r>
      <w:r w:rsidR="005A17D8">
        <w:rPr>
          <w:rFonts w:ascii="Century" w:hAnsi="Century" w:cs="Arial"/>
          <w:sz w:val="24"/>
          <w:szCs w:val="24"/>
        </w:rPr>
        <w:t xml:space="preserve">presentada contra España </w:t>
      </w:r>
      <w:r w:rsidR="00A24499" w:rsidRPr="002C13F3">
        <w:rPr>
          <w:rFonts w:ascii="Century" w:hAnsi="Century" w:cs="Arial"/>
          <w:sz w:val="24"/>
          <w:szCs w:val="24"/>
        </w:rPr>
        <w:t>que la Ley estatal permite a las CCAA establecer diversas reducciones fiscales que se aplican únicamente en su territorio. De este modo, una sucesión en la que intervenga un causahabiente o un causante no residente, o bien una sucesión que tuviera por objeto un bien inmueble situado fuera del territorio español, no podía beneficiarse de esas reducciones fiscales, originándose una diferencia de trato,</w:t>
      </w:r>
      <w:r w:rsidR="00A24499" w:rsidRPr="002C13F3">
        <w:rPr>
          <w:rFonts w:ascii="Century" w:hAnsi="Century" w:cs="Arial"/>
          <w:color w:val="E36C0A" w:themeColor="accent6" w:themeShade="BF"/>
          <w:sz w:val="24"/>
          <w:szCs w:val="24"/>
          <w:vertAlign w:val="superscript"/>
        </w:rPr>
        <w:t xml:space="preserve"> </w:t>
      </w:r>
      <w:r w:rsidR="00A24499" w:rsidRPr="002C13F3">
        <w:rPr>
          <w:rFonts w:ascii="Century" w:hAnsi="Century" w:cs="Arial"/>
          <w:sz w:val="24"/>
          <w:szCs w:val="24"/>
        </w:rPr>
        <w:t>y un obstáculo a la libre circulación de personas y de capitales</w:t>
      </w:r>
      <w:r w:rsidR="003126CE" w:rsidRPr="002C13F3">
        <w:rPr>
          <w:rStyle w:val="Refdenotaalpie"/>
          <w:rFonts w:ascii="Century" w:hAnsi="Century" w:cs="Arial"/>
          <w:sz w:val="24"/>
          <w:szCs w:val="24"/>
        </w:rPr>
        <w:footnoteReference w:id="66"/>
      </w:r>
      <w:r w:rsidR="003126CE" w:rsidRPr="002C13F3">
        <w:rPr>
          <w:rFonts w:ascii="Century" w:hAnsi="Century" w:cs="Arial"/>
          <w:sz w:val="24"/>
          <w:szCs w:val="24"/>
        </w:rPr>
        <w:t>.</w:t>
      </w:r>
    </w:p>
    <w:p w:rsidR="00677E6B" w:rsidRDefault="0042487F" w:rsidP="0042487F">
      <w:pPr>
        <w:spacing w:after="240" w:line="360" w:lineRule="auto"/>
        <w:jc w:val="both"/>
        <w:rPr>
          <w:rFonts w:ascii="Century" w:hAnsi="Century" w:cs="Arial"/>
          <w:sz w:val="24"/>
          <w:szCs w:val="24"/>
        </w:rPr>
      </w:pPr>
      <w:r>
        <w:rPr>
          <w:rFonts w:ascii="Century" w:hAnsi="Century" w:cs="Arial"/>
          <w:sz w:val="24"/>
          <w:szCs w:val="24"/>
        </w:rPr>
        <w:tab/>
      </w:r>
      <w:r w:rsidR="00677E6B">
        <w:rPr>
          <w:rFonts w:ascii="Century" w:hAnsi="Century" w:cs="Arial"/>
          <w:sz w:val="24"/>
          <w:szCs w:val="24"/>
        </w:rPr>
        <w:t>L</w:t>
      </w:r>
      <w:r w:rsidR="003126CE" w:rsidRPr="002C13F3">
        <w:rPr>
          <w:rFonts w:ascii="Century" w:hAnsi="Century" w:cs="Arial"/>
          <w:sz w:val="24"/>
          <w:szCs w:val="24"/>
        </w:rPr>
        <w:t>a Sentencia</w:t>
      </w:r>
      <w:r w:rsidR="008E5DB2" w:rsidRPr="002C13F3">
        <w:rPr>
          <w:rFonts w:ascii="Century" w:hAnsi="Century" w:cs="Arial"/>
          <w:sz w:val="24"/>
          <w:szCs w:val="24"/>
        </w:rPr>
        <w:t xml:space="preserve"> del Tribunal de Justicia de la Unión Europea</w:t>
      </w:r>
      <w:r w:rsidR="00EE4E3A">
        <w:rPr>
          <w:rFonts w:ascii="Century" w:hAnsi="Century" w:cs="Arial"/>
          <w:sz w:val="24"/>
          <w:szCs w:val="24"/>
        </w:rPr>
        <w:t>,</w:t>
      </w:r>
      <w:r w:rsidR="003126CE" w:rsidRPr="002C13F3">
        <w:rPr>
          <w:rFonts w:ascii="Century" w:hAnsi="Century" w:cs="Arial"/>
          <w:sz w:val="24"/>
          <w:szCs w:val="24"/>
        </w:rPr>
        <w:t xml:space="preserve"> de 3 de septiembre de 2014,</w:t>
      </w:r>
      <w:r w:rsidR="00EE4E3A">
        <w:rPr>
          <w:rFonts w:ascii="Century" w:hAnsi="Century" w:cs="Arial"/>
          <w:sz w:val="24"/>
          <w:szCs w:val="24"/>
        </w:rPr>
        <w:t xml:space="preserve"> </w:t>
      </w:r>
      <w:r w:rsidR="00EE4E3A" w:rsidRPr="00E34AA8">
        <w:rPr>
          <w:rFonts w:ascii="Century" w:hAnsi="Century"/>
          <w:sz w:val="24"/>
          <w:szCs w:val="24"/>
        </w:rPr>
        <w:t>asunto C-127/12</w:t>
      </w:r>
      <w:r w:rsidR="003126CE" w:rsidRPr="002C13F3">
        <w:rPr>
          <w:rFonts w:ascii="Century" w:hAnsi="Century" w:cs="Arial"/>
          <w:sz w:val="24"/>
          <w:szCs w:val="24"/>
        </w:rPr>
        <w:t xml:space="preserve"> (en adelante, STJUE </w:t>
      </w:r>
      <w:r w:rsidR="008E5DB2" w:rsidRPr="002C13F3">
        <w:rPr>
          <w:rFonts w:ascii="Century" w:hAnsi="Century" w:cs="Arial"/>
          <w:sz w:val="24"/>
          <w:szCs w:val="24"/>
        </w:rPr>
        <w:t>de</w:t>
      </w:r>
      <w:r w:rsidR="003126CE" w:rsidRPr="002C13F3">
        <w:rPr>
          <w:rFonts w:ascii="Century" w:hAnsi="Century" w:cs="Arial"/>
          <w:sz w:val="24"/>
          <w:szCs w:val="24"/>
        </w:rPr>
        <w:t xml:space="preserve"> 2014),</w:t>
      </w:r>
      <w:r w:rsidR="008E5DB2" w:rsidRPr="002C13F3">
        <w:rPr>
          <w:rFonts w:ascii="Century" w:hAnsi="Century" w:cs="Arial"/>
          <w:sz w:val="24"/>
          <w:szCs w:val="24"/>
        </w:rPr>
        <w:t xml:space="preserve"> resuelve</w:t>
      </w:r>
      <w:r w:rsidR="003126CE" w:rsidRPr="002C13F3">
        <w:rPr>
          <w:rFonts w:ascii="Century" w:hAnsi="Century" w:cs="Arial"/>
          <w:sz w:val="24"/>
          <w:szCs w:val="24"/>
        </w:rPr>
        <w:t xml:space="preserve"> el proceso</w:t>
      </w:r>
      <w:r w:rsidR="008E5DB2" w:rsidRPr="002C13F3">
        <w:rPr>
          <w:rFonts w:ascii="Century" w:hAnsi="Century" w:cs="Arial"/>
          <w:sz w:val="24"/>
          <w:szCs w:val="24"/>
        </w:rPr>
        <w:t xml:space="preserve"> que la Comisión Europea inició al respecto.</w:t>
      </w:r>
      <w:r w:rsidR="0015343C" w:rsidRPr="002C13F3">
        <w:rPr>
          <w:rFonts w:ascii="Century" w:hAnsi="Century" w:cs="Arial"/>
          <w:sz w:val="24"/>
          <w:szCs w:val="24"/>
        </w:rPr>
        <w:t xml:space="preserve"> </w:t>
      </w:r>
    </w:p>
    <w:p w:rsidR="003126CE" w:rsidRPr="002C13F3" w:rsidRDefault="0042487F" w:rsidP="0042487F">
      <w:pPr>
        <w:spacing w:after="240" w:line="360" w:lineRule="auto"/>
        <w:jc w:val="both"/>
        <w:rPr>
          <w:rFonts w:ascii="Century" w:hAnsi="Century" w:cs="Arial"/>
          <w:sz w:val="24"/>
          <w:szCs w:val="24"/>
        </w:rPr>
      </w:pPr>
      <w:r>
        <w:rPr>
          <w:rFonts w:ascii="Century" w:hAnsi="Century" w:cs="Arial"/>
          <w:sz w:val="24"/>
          <w:szCs w:val="24"/>
        </w:rPr>
        <w:tab/>
      </w:r>
      <w:r w:rsidR="00677E6B">
        <w:rPr>
          <w:rFonts w:ascii="Century" w:hAnsi="Century" w:cs="Arial"/>
          <w:sz w:val="24"/>
          <w:szCs w:val="24"/>
        </w:rPr>
        <w:t>Antes de revisar su contenido nos detendremos brevemente en el proceso desarrollado. El</w:t>
      </w:r>
      <w:r w:rsidR="0015343C" w:rsidRPr="002C13F3">
        <w:rPr>
          <w:rFonts w:ascii="Century" w:hAnsi="Century" w:cs="Arial"/>
          <w:sz w:val="24"/>
          <w:szCs w:val="24"/>
        </w:rPr>
        <w:t xml:space="preserve"> proceso </w:t>
      </w:r>
      <w:r w:rsidR="00677E6B">
        <w:rPr>
          <w:rFonts w:ascii="Century" w:hAnsi="Century" w:cs="Arial"/>
          <w:sz w:val="24"/>
          <w:szCs w:val="24"/>
        </w:rPr>
        <w:t xml:space="preserve">contra el Reino de España </w:t>
      </w:r>
      <w:r w:rsidR="0015343C" w:rsidRPr="002C13F3">
        <w:rPr>
          <w:rFonts w:ascii="Century" w:hAnsi="Century" w:cs="Arial"/>
          <w:sz w:val="24"/>
          <w:szCs w:val="24"/>
        </w:rPr>
        <w:t>se inicia mediante</w:t>
      </w:r>
      <w:r w:rsidR="003126CE" w:rsidRPr="002C13F3">
        <w:rPr>
          <w:rFonts w:ascii="Century" w:hAnsi="Century" w:cs="Arial"/>
          <w:sz w:val="24"/>
          <w:szCs w:val="24"/>
        </w:rPr>
        <w:t xml:space="preserve"> un escrito de </w:t>
      </w:r>
      <w:r w:rsidR="0015343C" w:rsidRPr="002C13F3">
        <w:rPr>
          <w:rFonts w:ascii="Century" w:hAnsi="Century" w:cs="Arial"/>
          <w:sz w:val="24"/>
          <w:szCs w:val="24"/>
        </w:rPr>
        <w:t>requerimiento de</w:t>
      </w:r>
      <w:r w:rsidR="003126CE" w:rsidRPr="002C13F3">
        <w:rPr>
          <w:rFonts w:ascii="Century" w:hAnsi="Century" w:cs="Arial"/>
          <w:sz w:val="24"/>
          <w:szCs w:val="24"/>
        </w:rPr>
        <w:t xml:space="preserve"> 11 de julio de 2007, en el que advertía de la posible incompatibilidad de algunos aspectos de la leg</w:t>
      </w:r>
      <w:r w:rsidR="00677E6B">
        <w:rPr>
          <w:rFonts w:ascii="Century" w:hAnsi="Century" w:cs="Arial"/>
          <w:sz w:val="24"/>
          <w:szCs w:val="24"/>
        </w:rPr>
        <w:t>islación estatal del impuesto. E</w:t>
      </w:r>
      <w:r w:rsidR="003126CE" w:rsidRPr="002C13F3">
        <w:rPr>
          <w:rFonts w:ascii="Century" w:hAnsi="Century" w:cs="Arial"/>
          <w:sz w:val="24"/>
          <w:szCs w:val="24"/>
        </w:rPr>
        <w:t>n especial</w:t>
      </w:r>
      <w:r w:rsidR="00677E6B">
        <w:rPr>
          <w:rFonts w:ascii="Century" w:hAnsi="Century" w:cs="Arial"/>
          <w:sz w:val="24"/>
          <w:szCs w:val="24"/>
        </w:rPr>
        <w:t>, se alude a la posible vulneración que</w:t>
      </w:r>
      <w:r w:rsidR="003126CE" w:rsidRPr="002C13F3">
        <w:rPr>
          <w:rFonts w:ascii="Century" w:hAnsi="Century" w:cs="Arial"/>
          <w:sz w:val="24"/>
          <w:szCs w:val="24"/>
        </w:rPr>
        <w:t xml:space="preserve"> los arts. 24 y 40 de la Ley 21/2001 (actualmente arts. 32 y 48 de la Ley de Cesión)</w:t>
      </w:r>
      <w:r w:rsidR="00677E6B">
        <w:rPr>
          <w:rFonts w:ascii="Century" w:hAnsi="Century" w:cs="Arial"/>
          <w:sz w:val="24"/>
          <w:szCs w:val="24"/>
        </w:rPr>
        <w:t>,</w:t>
      </w:r>
      <w:r w:rsidR="004E03E5" w:rsidRPr="002C13F3">
        <w:rPr>
          <w:rFonts w:ascii="Century" w:hAnsi="Century" w:cs="Arial"/>
          <w:sz w:val="24"/>
          <w:szCs w:val="24"/>
        </w:rPr>
        <w:t xml:space="preserve"> que recogen el alcance de la cesión, puntos de conexión y las </w:t>
      </w:r>
      <w:r w:rsidR="00B07A97">
        <w:rPr>
          <w:rFonts w:ascii="Century" w:hAnsi="Century" w:cs="Arial"/>
          <w:sz w:val="24"/>
          <w:szCs w:val="24"/>
        </w:rPr>
        <w:t>competencias normativas del ISUC</w:t>
      </w:r>
      <w:r w:rsidR="003126CE" w:rsidRPr="002C13F3">
        <w:rPr>
          <w:rFonts w:ascii="Century" w:hAnsi="Century" w:cs="Arial"/>
          <w:sz w:val="24"/>
          <w:szCs w:val="24"/>
        </w:rPr>
        <w:t xml:space="preserve">, </w:t>
      </w:r>
      <w:r w:rsidR="00677E6B">
        <w:rPr>
          <w:rFonts w:ascii="Century" w:hAnsi="Century" w:cs="Arial"/>
          <w:sz w:val="24"/>
          <w:szCs w:val="24"/>
        </w:rPr>
        <w:t>podrían producir con relación a los</w:t>
      </w:r>
      <w:r w:rsidR="003126CE" w:rsidRPr="002C13F3">
        <w:rPr>
          <w:rFonts w:ascii="Century" w:hAnsi="Century" w:cs="Arial"/>
          <w:sz w:val="24"/>
          <w:szCs w:val="24"/>
        </w:rPr>
        <w:t xml:space="preserve"> arts. 21 y 63 </w:t>
      </w:r>
      <w:r w:rsidR="00677E6B">
        <w:rPr>
          <w:rFonts w:ascii="Century" w:hAnsi="Century" w:cs="Arial"/>
          <w:sz w:val="24"/>
          <w:szCs w:val="24"/>
        </w:rPr>
        <w:t xml:space="preserve">del </w:t>
      </w:r>
      <w:r w:rsidR="003126CE" w:rsidRPr="002C13F3">
        <w:rPr>
          <w:rFonts w:ascii="Century" w:hAnsi="Century" w:cs="Arial"/>
          <w:sz w:val="24"/>
          <w:szCs w:val="24"/>
        </w:rPr>
        <w:t>TFUE</w:t>
      </w:r>
      <w:r w:rsidR="00677E6B">
        <w:rPr>
          <w:rFonts w:ascii="Century" w:hAnsi="Century" w:cs="Arial"/>
          <w:sz w:val="24"/>
          <w:szCs w:val="24"/>
        </w:rPr>
        <w:t>,</w:t>
      </w:r>
      <w:r w:rsidR="004E03E5" w:rsidRPr="002C13F3">
        <w:rPr>
          <w:rFonts w:ascii="Century" w:hAnsi="Century" w:cs="Arial"/>
          <w:sz w:val="24"/>
          <w:szCs w:val="24"/>
        </w:rPr>
        <w:t xml:space="preserve"> que garantizan el derecho a circular y residir libremente en el territorio de los EM y prohíben todas las restricciones a los movimientos de capitales</w:t>
      </w:r>
      <w:r w:rsidR="0015343C" w:rsidRPr="002C13F3">
        <w:rPr>
          <w:rFonts w:ascii="Century" w:hAnsi="Century" w:cs="Arial"/>
          <w:sz w:val="24"/>
          <w:szCs w:val="24"/>
        </w:rPr>
        <w:t>,</w:t>
      </w:r>
      <w:r w:rsidR="003126CE" w:rsidRPr="002C13F3">
        <w:rPr>
          <w:rFonts w:ascii="Century" w:hAnsi="Century" w:cs="Arial"/>
          <w:sz w:val="24"/>
          <w:szCs w:val="24"/>
        </w:rPr>
        <w:t xml:space="preserve"> así como con los arts. 28 y 40 </w:t>
      </w:r>
      <w:r w:rsidR="003126CE" w:rsidRPr="00E168FD">
        <w:rPr>
          <w:rFonts w:ascii="Century" w:hAnsi="Century" w:cs="Arial"/>
          <w:sz w:val="24"/>
          <w:szCs w:val="24"/>
        </w:rPr>
        <w:t xml:space="preserve">del </w:t>
      </w:r>
      <w:r w:rsidR="004E03E5" w:rsidRPr="00E168FD">
        <w:rPr>
          <w:rFonts w:ascii="Century" w:hAnsi="Century" w:cs="Arial"/>
          <w:sz w:val="24"/>
          <w:szCs w:val="24"/>
        </w:rPr>
        <w:t>Acuerdo EEE</w:t>
      </w:r>
      <w:r w:rsidR="00677E6B">
        <w:rPr>
          <w:rFonts w:ascii="Century" w:hAnsi="Century" w:cs="Arial"/>
          <w:sz w:val="24"/>
          <w:szCs w:val="24"/>
        </w:rPr>
        <w:t>,</w:t>
      </w:r>
      <w:r w:rsidR="004E03E5" w:rsidRPr="002C13F3">
        <w:rPr>
          <w:rFonts w:ascii="Century" w:hAnsi="Century" w:cs="Arial"/>
          <w:sz w:val="24"/>
          <w:szCs w:val="24"/>
        </w:rPr>
        <w:t xml:space="preserve"> que aseguran la libre circulación y prohíben las discriminaciones de trato por razón de la nacionalidad o de la residencia.</w:t>
      </w:r>
    </w:p>
    <w:p w:rsidR="00B023ED" w:rsidRPr="002C13F3" w:rsidRDefault="0042487F" w:rsidP="0042487F">
      <w:pPr>
        <w:spacing w:after="240" w:line="360" w:lineRule="auto"/>
        <w:jc w:val="both"/>
        <w:rPr>
          <w:rFonts w:ascii="Century" w:hAnsi="Century" w:cs="Arial"/>
          <w:sz w:val="24"/>
          <w:szCs w:val="24"/>
        </w:rPr>
      </w:pPr>
      <w:r>
        <w:rPr>
          <w:rFonts w:ascii="Century" w:hAnsi="Century" w:cs="Arial"/>
          <w:sz w:val="24"/>
          <w:szCs w:val="24"/>
        </w:rPr>
        <w:lastRenderedPageBreak/>
        <w:tab/>
      </w:r>
      <w:r w:rsidR="003126CE" w:rsidRPr="002C13F3">
        <w:rPr>
          <w:rFonts w:ascii="Century" w:hAnsi="Century" w:cs="Arial"/>
          <w:sz w:val="24"/>
          <w:szCs w:val="24"/>
        </w:rPr>
        <w:t>El Reino de España respondió con un escrito de 23 de octubre de 2007</w:t>
      </w:r>
      <w:r w:rsidR="00677E6B">
        <w:rPr>
          <w:rFonts w:ascii="Century" w:hAnsi="Century" w:cs="Arial"/>
          <w:sz w:val="24"/>
          <w:szCs w:val="24"/>
        </w:rPr>
        <w:t xml:space="preserve"> en el que afirmaba</w:t>
      </w:r>
      <w:r w:rsidR="003126CE" w:rsidRPr="002C13F3">
        <w:rPr>
          <w:rFonts w:ascii="Century" w:hAnsi="Century" w:cs="Arial"/>
          <w:sz w:val="24"/>
          <w:szCs w:val="24"/>
        </w:rPr>
        <w:t xml:space="preserve"> que el contenido de la demanda </w:t>
      </w:r>
      <w:r w:rsidR="00677E6B">
        <w:rPr>
          <w:rFonts w:ascii="Century" w:hAnsi="Century" w:cs="Arial"/>
          <w:sz w:val="24"/>
          <w:szCs w:val="24"/>
        </w:rPr>
        <w:t>incurría</w:t>
      </w:r>
      <w:r w:rsidR="003126CE" w:rsidRPr="002C13F3">
        <w:rPr>
          <w:rFonts w:ascii="Century" w:hAnsi="Century" w:cs="Arial"/>
          <w:sz w:val="24"/>
          <w:szCs w:val="24"/>
        </w:rPr>
        <w:t xml:space="preserve"> en la imprecisión y la incoherencia</w:t>
      </w:r>
      <w:r w:rsidR="00677E6B">
        <w:rPr>
          <w:rFonts w:ascii="Century" w:hAnsi="Century" w:cs="Arial"/>
          <w:sz w:val="24"/>
          <w:szCs w:val="24"/>
        </w:rPr>
        <w:t xml:space="preserve"> de su</w:t>
      </w:r>
      <w:r w:rsidR="003126CE" w:rsidRPr="002C13F3">
        <w:rPr>
          <w:rFonts w:ascii="Century" w:hAnsi="Century" w:cs="Arial"/>
          <w:sz w:val="24"/>
          <w:szCs w:val="24"/>
        </w:rPr>
        <w:t xml:space="preserve"> objeto y de los motivos</w:t>
      </w:r>
      <w:r w:rsidR="00677E6B">
        <w:rPr>
          <w:rFonts w:ascii="Century" w:hAnsi="Century" w:cs="Arial"/>
          <w:sz w:val="24"/>
          <w:szCs w:val="24"/>
        </w:rPr>
        <w:t xml:space="preserve"> que la fundamentaban</w:t>
      </w:r>
      <w:r w:rsidR="00B023ED" w:rsidRPr="002C13F3">
        <w:rPr>
          <w:rFonts w:ascii="Century" w:hAnsi="Century" w:cs="Arial"/>
          <w:sz w:val="24"/>
          <w:szCs w:val="24"/>
        </w:rPr>
        <w:t>. Además señala</w:t>
      </w:r>
      <w:r w:rsidR="00677E6B">
        <w:rPr>
          <w:rFonts w:ascii="Century" w:hAnsi="Century" w:cs="Arial"/>
          <w:sz w:val="24"/>
          <w:szCs w:val="24"/>
        </w:rPr>
        <w:t>ba</w:t>
      </w:r>
      <w:r w:rsidR="00B023ED" w:rsidRPr="002C13F3">
        <w:rPr>
          <w:rFonts w:ascii="Century" w:hAnsi="Century" w:cs="Arial"/>
          <w:sz w:val="24"/>
          <w:szCs w:val="24"/>
        </w:rPr>
        <w:t xml:space="preserve"> que </w:t>
      </w:r>
      <w:r w:rsidR="003126CE" w:rsidRPr="002C13F3">
        <w:rPr>
          <w:rFonts w:ascii="Century" w:hAnsi="Century" w:cs="Arial"/>
          <w:sz w:val="24"/>
          <w:szCs w:val="24"/>
        </w:rPr>
        <w:t>la Comisión se apoya</w:t>
      </w:r>
      <w:r w:rsidR="00677E6B">
        <w:rPr>
          <w:rFonts w:ascii="Century" w:hAnsi="Century" w:cs="Arial"/>
          <w:sz w:val="24"/>
          <w:szCs w:val="24"/>
        </w:rPr>
        <w:t>ba</w:t>
      </w:r>
      <w:r w:rsidR="003126CE" w:rsidRPr="002C13F3">
        <w:rPr>
          <w:rFonts w:ascii="Century" w:hAnsi="Century" w:cs="Arial"/>
          <w:sz w:val="24"/>
          <w:szCs w:val="24"/>
        </w:rPr>
        <w:t xml:space="preserve"> en una hipótesis errónea, al considerar que la situación de los resi</w:t>
      </w:r>
      <w:r w:rsidR="00677E6B">
        <w:rPr>
          <w:rFonts w:ascii="Century" w:hAnsi="Century" w:cs="Arial"/>
          <w:sz w:val="24"/>
          <w:szCs w:val="24"/>
        </w:rPr>
        <w:t>dentes y de los no residentes era</w:t>
      </w:r>
      <w:r w:rsidR="003126CE" w:rsidRPr="002C13F3">
        <w:rPr>
          <w:rFonts w:ascii="Century" w:hAnsi="Century" w:cs="Arial"/>
          <w:sz w:val="24"/>
          <w:szCs w:val="24"/>
        </w:rPr>
        <w:t xml:space="preserve"> siempre comparable.</w:t>
      </w:r>
      <w:r w:rsidR="00B023ED" w:rsidRPr="002C13F3">
        <w:rPr>
          <w:rFonts w:ascii="Century" w:hAnsi="Century" w:cs="Arial"/>
          <w:sz w:val="24"/>
          <w:szCs w:val="24"/>
        </w:rPr>
        <w:t xml:space="preserve"> </w:t>
      </w:r>
      <w:r w:rsidR="003126CE" w:rsidRPr="002C13F3">
        <w:rPr>
          <w:rFonts w:ascii="Century" w:hAnsi="Century" w:cs="Arial"/>
          <w:sz w:val="24"/>
          <w:szCs w:val="24"/>
        </w:rPr>
        <w:t>La Comisión no conforme con</w:t>
      </w:r>
      <w:r w:rsidR="00677E6B">
        <w:rPr>
          <w:rFonts w:ascii="Century" w:hAnsi="Century" w:cs="Arial"/>
          <w:sz w:val="24"/>
          <w:szCs w:val="24"/>
        </w:rPr>
        <w:t xml:space="preserve"> el escrito</w:t>
      </w:r>
      <w:r w:rsidR="003126CE" w:rsidRPr="002C13F3">
        <w:rPr>
          <w:rFonts w:ascii="Century" w:hAnsi="Century" w:cs="Arial"/>
          <w:sz w:val="24"/>
          <w:szCs w:val="24"/>
        </w:rPr>
        <w:t>, envió un dictamen motivado al Gobierno español</w:t>
      </w:r>
      <w:r w:rsidR="00677E6B">
        <w:rPr>
          <w:rFonts w:ascii="Century" w:hAnsi="Century" w:cs="Arial"/>
          <w:sz w:val="24"/>
          <w:szCs w:val="24"/>
        </w:rPr>
        <w:t>,</w:t>
      </w:r>
      <w:r w:rsidR="003126CE" w:rsidRPr="002C13F3">
        <w:rPr>
          <w:rFonts w:ascii="Century" w:hAnsi="Century" w:cs="Arial"/>
          <w:sz w:val="24"/>
          <w:szCs w:val="24"/>
        </w:rPr>
        <w:t xml:space="preserve"> el 7 de mayo de 2010</w:t>
      </w:r>
      <w:r w:rsidR="0015343C" w:rsidRPr="002C13F3">
        <w:rPr>
          <w:rFonts w:ascii="Century" w:hAnsi="Century" w:cs="Arial"/>
          <w:sz w:val="24"/>
          <w:szCs w:val="24"/>
        </w:rPr>
        <w:t>,</w:t>
      </w:r>
      <w:r w:rsidR="003126CE" w:rsidRPr="002C13F3">
        <w:rPr>
          <w:rFonts w:ascii="Century" w:hAnsi="Century" w:cs="Arial"/>
          <w:sz w:val="24"/>
          <w:szCs w:val="24"/>
        </w:rPr>
        <w:t xml:space="preserve"> solicitando formalmente la modificación del régimen fiscal aplicable a las sucesiones en territorio español, debido a la discriminación hacia los no residentes y respecto a los activos situados en el extranjero, ya que podría suponer una vulneración a la libre circulación de capitales. España respondió con escrito de 26 de julio de 2010, manifestando que la Ley 21/2001 a la que se refería la Comisión en su dictamen motivado, había sido sustituida por la Ley de Cesión</w:t>
      </w:r>
      <w:r w:rsidR="003A6BF4" w:rsidRPr="002C13F3">
        <w:rPr>
          <w:rFonts w:ascii="Century" w:hAnsi="Century" w:cs="Arial"/>
          <w:sz w:val="24"/>
          <w:szCs w:val="24"/>
        </w:rPr>
        <w:t xml:space="preserve">. </w:t>
      </w:r>
      <w:r w:rsidR="003126CE" w:rsidRPr="002C13F3">
        <w:rPr>
          <w:rFonts w:ascii="Century" w:hAnsi="Century" w:cs="Arial"/>
          <w:sz w:val="24"/>
          <w:szCs w:val="24"/>
        </w:rPr>
        <w:t>La Comisión le envió posteriormente un dictamen motivado complementario, de fecha 17 de febrero de 2011, que fue respondido por el Reino de España el 19 de mayo de 2011, argumentando que no existe un marco nacional de referencia único con el que pueda comp</w:t>
      </w:r>
      <w:r w:rsidR="00A24499" w:rsidRPr="002C13F3">
        <w:rPr>
          <w:rFonts w:ascii="Century" w:hAnsi="Century" w:cs="Arial"/>
          <w:sz w:val="24"/>
          <w:szCs w:val="24"/>
        </w:rPr>
        <w:t>a</w:t>
      </w:r>
      <w:r w:rsidR="003126CE" w:rsidRPr="002C13F3">
        <w:rPr>
          <w:rFonts w:ascii="Century" w:hAnsi="Century" w:cs="Arial"/>
          <w:sz w:val="24"/>
          <w:szCs w:val="24"/>
        </w:rPr>
        <w:t xml:space="preserve">rarse la ventaja derivada del nivel de imposición inferior y que las diferencias de trato resultan de la diversidad de las autoridades competentes en materia fiscal en España. </w:t>
      </w:r>
      <w:r w:rsidR="00677E6B">
        <w:rPr>
          <w:rFonts w:ascii="Century" w:hAnsi="Century" w:cs="Arial"/>
          <w:sz w:val="24"/>
          <w:szCs w:val="24"/>
        </w:rPr>
        <w:t>A</w:t>
      </w:r>
      <w:r w:rsidR="003126CE" w:rsidRPr="002C13F3">
        <w:rPr>
          <w:rFonts w:ascii="Century" w:hAnsi="Century" w:cs="Arial"/>
          <w:sz w:val="24"/>
          <w:szCs w:val="24"/>
        </w:rPr>
        <w:t>l no quedarse satisfecha la Comisión por esas respuestas, interpuso un recurso</w:t>
      </w:r>
      <w:r w:rsidR="00677E6B">
        <w:rPr>
          <w:rFonts w:ascii="Century" w:hAnsi="Century" w:cs="Arial"/>
          <w:sz w:val="24"/>
          <w:szCs w:val="24"/>
        </w:rPr>
        <w:t xml:space="preserve"> ante el TJUE</w:t>
      </w:r>
      <w:r w:rsidR="003126CE" w:rsidRPr="002C13F3">
        <w:rPr>
          <w:rFonts w:ascii="Century" w:hAnsi="Century" w:cs="Arial"/>
          <w:sz w:val="24"/>
          <w:szCs w:val="24"/>
        </w:rPr>
        <w:t xml:space="preserve"> por incumplimiento</w:t>
      </w:r>
      <w:r w:rsidR="00677E6B">
        <w:rPr>
          <w:rFonts w:ascii="Century" w:hAnsi="Century" w:cs="Arial"/>
          <w:sz w:val="24"/>
          <w:szCs w:val="24"/>
        </w:rPr>
        <w:t>,</w:t>
      </w:r>
      <w:r w:rsidR="003126CE" w:rsidRPr="002C13F3">
        <w:rPr>
          <w:rFonts w:ascii="Century" w:hAnsi="Century" w:cs="Arial"/>
          <w:sz w:val="24"/>
          <w:szCs w:val="24"/>
        </w:rPr>
        <w:t xml:space="preserve"> el 7 de marzo de 2012</w:t>
      </w:r>
      <w:r w:rsidR="00677E6B">
        <w:rPr>
          <w:rFonts w:ascii="Century" w:hAnsi="Century" w:cs="Arial"/>
          <w:sz w:val="24"/>
          <w:szCs w:val="24"/>
        </w:rPr>
        <w:t>,</w:t>
      </w:r>
      <w:r w:rsidR="003126CE" w:rsidRPr="002C13F3">
        <w:rPr>
          <w:rFonts w:ascii="Century" w:hAnsi="Century" w:cs="Arial"/>
          <w:sz w:val="24"/>
          <w:szCs w:val="24"/>
        </w:rPr>
        <w:t xml:space="preserve"> con arreglo al art. 258 del TFUE</w:t>
      </w:r>
      <w:r w:rsidR="00677E6B">
        <w:rPr>
          <w:rFonts w:ascii="Century" w:hAnsi="Century" w:cs="Arial"/>
          <w:sz w:val="24"/>
          <w:szCs w:val="24"/>
        </w:rPr>
        <w:t>. E</w:t>
      </w:r>
      <w:r w:rsidR="003126CE" w:rsidRPr="002C13F3">
        <w:rPr>
          <w:rFonts w:ascii="Century" w:hAnsi="Century" w:cs="Arial"/>
          <w:sz w:val="24"/>
          <w:szCs w:val="24"/>
        </w:rPr>
        <w:t>l Reino de España</w:t>
      </w:r>
      <w:r w:rsidR="00677E6B">
        <w:rPr>
          <w:rFonts w:ascii="Century" w:hAnsi="Century" w:cs="Arial"/>
          <w:sz w:val="24"/>
          <w:szCs w:val="24"/>
        </w:rPr>
        <w:t xml:space="preserve"> mediante u</w:t>
      </w:r>
      <w:r w:rsidR="003126CE" w:rsidRPr="002C13F3">
        <w:rPr>
          <w:rFonts w:ascii="Century" w:hAnsi="Century" w:cs="Arial"/>
          <w:sz w:val="24"/>
          <w:szCs w:val="24"/>
        </w:rPr>
        <w:t>n escrito separado de 23 de marzo de 2012 se opuso a dicho recurso.</w:t>
      </w:r>
    </w:p>
    <w:p w:rsidR="003126CE" w:rsidRPr="002C13F3" w:rsidRDefault="009E1BDB" w:rsidP="009E1BDB">
      <w:pPr>
        <w:spacing w:after="240" w:line="360" w:lineRule="auto"/>
        <w:jc w:val="both"/>
        <w:rPr>
          <w:rFonts w:ascii="Century" w:hAnsi="Century" w:cs="Arial"/>
          <w:sz w:val="24"/>
          <w:szCs w:val="24"/>
        </w:rPr>
      </w:pPr>
      <w:r>
        <w:rPr>
          <w:rFonts w:ascii="Century" w:hAnsi="Century" w:cs="Arial"/>
          <w:sz w:val="24"/>
          <w:szCs w:val="24"/>
        </w:rPr>
        <w:tab/>
      </w:r>
      <w:r w:rsidR="00F05595" w:rsidRPr="002C13F3">
        <w:rPr>
          <w:rFonts w:ascii="Century" w:hAnsi="Century" w:cs="Arial"/>
          <w:sz w:val="24"/>
          <w:szCs w:val="24"/>
        </w:rPr>
        <w:t>E</w:t>
      </w:r>
      <w:r w:rsidR="003126CE" w:rsidRPr="002C13F3">
        <w:rPr>
          <w:rFonts w:ascii="Century" w:hAnsi="Century" w:cs="Arial"/>
          <w:sz w:val="24"/>
          <w:szCs w:val="24"/>
        </w:rPr>
        <w:t>l TJUE</w:t>
      </w:r>
      <w:r w:rsidR="00F05595" w:rsidRPr="002C13F3">
        <w:rPr>
          <w:rFonts w:ascii="Century" w:hAnsi="Century" w:cs="Arial"/>
          <w:sz w:val="24"/>
          <w:szCs w:val="24"/>
        </w:rPr>
        <w:t xml:space="preserve"> </w:t>
      </w:r>
      <w:r w:rsidR="00677E6B">
        <w:rPr>
          <w:rFonts w:ascii="Century" w:hAnsi="Century" w:cs="Arial"/>
          <w:sz w:val="24"/>
          <w:szCs w:val="24"/>
        </w:rPr>
        <w:t>resuelve el asunto planteado,</w:t>
      </w:r>
      <w:r w:rsidR="003126CE" w:rsidRPr="002C13F3">
        <w:rPr>
          <w:rFonts w:ascii="Century" w:hAnsi="Century" w:cs="Arial"/>
          <w:sz w:val="24"/>
          <w:szCs w:val="24"/>
        </w:rPr>
        <w:t xml:space="preserve"> señalando que el Reino de España </w:t>
      </w:r>
      <w:r w:rsidR="00677E6B">
        <w:rPr>
          <w:rFonts w:ascii="Century" w:hAnsi="Century" w:cs="Arial"/>
          <w:sz w:val="24"/>
          <w:szCs w:val="24"/>
        </w:rPr>
        <w:t>incumple</w:t>
      </w:r>
      <w:r w:rsidR="003126CE" w:rsidRPr="002C13F3">
        <w:rPr>
          <w:rFonts w:ascii="Century" w:hAnsi="Century" w:cs="Arial"/>
          <w:sz w:val="24"/>
          <w:szCs w:val="24"/>
        </w:rPr>
        <w:t xml:space="preserve"> </w:t>
      </w:r>
      <w:r w:rsidR="00B13945">
        <w:rPr>
          <w:rFonts w:ascii="Century" w:hAnsi="Century" w:cs="Arial"/>
          <w:sz w:val="24"/>
          <w:szCs w:val="24"/>
        </w:rPr>
        <w:t>las obligaciones que le incumbe</w:t>
      </w:r>
      <w:r w:rsidR="003126CE" w:rsidRPr="002C13F3">
        <w:rPr>
          <w:rFonts w:ascii="Century" w:hAnsi="Century" w:cs="Arial"/>
          <w:sz w:val="24"/>
          <w:szCs w:val="24"/>
        </w:rPr>
        <w:t>n en virtud del art. 63</w:t>
      </w:r>
      <w:r w:rsidR="00B13945">
        <w:rPr>
          <w:rFonts w:ascii="Century" w:hAnsi="Century" w:cs="Arial"/>
          <w:sz w:val="24"/>
          <w:szCs w:val="24"/>
        </w:rPr>
        <w:t xml:space="preserve"> del</w:t>
      </w:r>
      <w:r w:rsidR="003126CE" w:rsidRPr="002C13F3">
        <w:rPr>
          <w:rFonts w:ascii="Century" w:hAnsi="Century" w:cs="Arial"/>
          <w:sz w:val="24"/>
          <w:szCs w:val="24"/>
        </w:rPr>
        <w:t xml:space="preserve"> TFUE y 40 </w:t>
      </w:r>
      <w:r w:rsidR="00B13945">
        <w:rPr>
          <w:rFonts w:ascii="Century" w:hAnsi="Century" w:cs="Arial"/>
          <w:sz w:val="24"/>
          <w:szCs w:val="24"/>
        </w:rPr>
        <w:t xml:space="preserve">del </w:t>
      </w:r>
      <w:r w:rsidR="003126CE" w:rsidRPr="002C13F3">
        <w:rPr>
          <w:rFonts w:ascii="Century" w:hAnsi="Century" w:cs="Arial"/>
          <w:sz w:val="24"/>
          <w:szCs w:val="24"/>
        </w:rPr>
        <w:t>Acuerdo EEE, al permitir que se int</w:t>
      </w:r>
      <w:r w:rsidR="00B13945">
        <w:rPr>
          <w:rFonts w:ascii="Century" w:hAnsi="Century" w:cs="Arial"/>
          <w:sz w:val="24"/>
          <w:szCs w:val="24"/>
        </w:rPr>
        <w:t>roduzcan</w:t>
      </w:r>
      <w:r w:rsidR="003126CE" w:rsidRPr="002C13F3">
        <w:rPr>
          <w:rFonts w:ascii="Century" w:hAnsi="Century" w:cs="Arial"/>
          <w:sz w:val="24"/>
          <w:szCs w:val="24"/>
        </w:rPr>
        <w:t xml:space="preserve"> diferencias en el trato fiscal de las sucesiones entre los causahabientes residentes y no residentes en España, entre los causantes residentes y no residentes en España</w:t>
      </w:r>
      <w:r w:rsidR="00F05595" w:rsidRPr="002C13F3">
        <w:rPr>
          <w:rFonts w:ascii="Century" w:hAnsi="Century" w:cs="Arial"/>
          <w:sz w:val="24"/>
          <w:szCs w:val="24"/>
        </w:rPr>
        <w:t>,</w:t>
      </w:r>
      <w:r w:rsidR="003126CE" w:rsidRPr="002C13F3">
        <w:rPr>
          <w:rFonts w:ascii="Century" w:hAnsi="Century" w:cs="Arial"/>
          <w:sz w:val="24"/>
          <w:szCs w:val="24"/>
        </w:rPr>
        <w:t xml:space="preserve"> y entre las disposiciones similares de bienes inmuebles situados en territorio español y fuera de éste. Es decir,</w:t>
      </w:r>
      <w:r w:rsidR="00F05595" w:rsidRPr="002C13F3">
        <w:rPr>
          <w:rFonts w:ascii="Century" w:hAnsi="Century" w:cs="Arial"/>
          <w:sz w:val="24"/>
          <w:szCs w:val="24"/>
        </w:rPr>
        <w:t xml:space="preserve"> en</w:t>
      </w:r>
      <w:r w:rsidR="003126CE" w:rsidRPr="002C13F3">
        <w:rPr>
          <w:rFonts w:ascii="Century" w:hAnsi="Century" w:cs="Arial"/>
          <w:sz w:val="24"/>
          <w:szCs w:val="24"/>
        </w:rPr>
        <w:t xml:space="preserve"> dicha sentencia</w:t>
      </w:r>
      <w:r w:rsidR="00F05595" w:rsidRPr="002C13F3">
        <w:rPr>
          <w:rFonts w:ascii="Century" w:hAnsi="Century" w:cs="Arial"/>
          <w:sz w:val="24"/>
          <w:szCs w:val="24"/>
        </w:rPr>
        <w:t xml:space="preserve"> se declara</w:t>
      </w:r>
      <w:r w:rsidR="00B13945">
        <w:rPr>
          <w:rFonts w:ascii="Century" w:hAnsi="Century" w:cs="Arial"/>
          <w:sz w:val="24"/>
          <w:szCs w:val="24"/>
        </w:rPr>
        <w:t xml:space="preserve"> de </w:t>
      </w:r>
      <w:r w:rsidR="00B13945">
        <w:rPr>
          <w:rFonts w:ascii="Century" w:hAnsi="Century" w:cs="Arial"/>
          <w:sz w:val="24"/>
          <w:szCs w:val="24"/>
        </w:rPr>
        <w:lastRenderedPageBreak/>
        <w:t>forma indubitada</w:t>
      </w:r>
      <w:r w:rsidR="003126CE" w:rsidRPr="002C13F3">
        <w:rPr>
          <w:rFonts w:ascii="Century" w:hAnsi="Century" w:cs="Arial"/>
          <w:sz w:val="24"/>
          <w:szCs w:val="24"/>
        </w:rPr>
        <w:t xml:space="preserve"> la incompatibilidad con el Derecho de la UE</w:t>
      </w:r>
      <w:r w:rsidR="00F05595" w:rsidRPr="002C13F3">
        <w:rPr>
          <w:rFonts w:ascii="Century" w:hAnsi="Century" w:cs="Arial"/>
          <w:sz w:val="24"/>
          <w:szCs w:val="24"/>
        </w:rPr>
        <w:t>,</w:t>
      </w:r>
      <w:r w:rsidR="003126CE" w:rsidRPr="002C13F3">
        <w:rPr>
          <w:rFonts w:ascii="Century" w:hAnsi="Century" w:cs="Arial"/>
          <w:sz w:val="24"/>
          <w:szCs w:val="24"/>
        </w:rPr>
        <w:t xml:space="preserve"> del tratamiento que la LISD otorga a los no residentes en España.</w:t>
      </w:r>
    </w:p>
    <w:p w:rsidR="002A1F63" w:rsidRPr="002C13F3" w:rsidRDefault="009E1BDB" w:rsidP="009E1BDB">
      <w:pPr>
        <w:spacing w:after="240" w:line="360" w:lineRule="auto"/>
        <w:jc w:val="both"/>
        <w:rPr>
          <w:rFonts w:ascii="Century" w:hAnsi="Century" w:cs="Arial"/>
          <w:sz w:val="24"/>
          <w:szCs w:val="24"/>
        </w:rPr>
      </w:pPr>
      <w:r>
        <w:rPr>
          <w:rFonts w:ascii="Century" w:hAnsi="Century" w:cs="Arial"/>
          <w:sz w:val="24"/>
          <w:szCs w:val="24"/>
        </w:rPr>
        <w:tab/>
      </w:r>
      <w:r w:rsidR="00B13945">
        <w:rPr>
          <w:rFonts w:ascii="Century" w:hAnsi="Century" w:cs="Arial"/>
          <w:sz w:val="24"/>
          <w:szCs w:val="24"/>
        </w:rPr>
        <w:t>El Tribunal sostiene que</w:t>
      </w:r>
      <w:r w:rsidR="002A1F63" w:rsidRPr="002C13F3">
        <w:rPr>
          <w:rFonts w:ascii="Century" w:hAnsi="Century" w:cs="Arial"/>
          <w:sz w:val="24"/>
          <w:szCs w:val="24"/>
        </w:rPr>
        <w:t xml:space="preserve"> la posibilidad de dar un trato diferente a los sujetos pasivos en función de su residencia, “aun cuando se encuentren en una situación comparable, puede bastar para tipificar una restricción de la libre circulación de capitales, con independencia de si todas las Comunidades Autónomas han ejercido o no la facultad prevista por la legislación estatal discutida”. Es decir, el TJUE considera que la aplicació</w:t>
      </w:r>
      <w:r w:rsidR="00782123">
        <w:rPr>
          <w:rFonts w:ascii="Century" w:hAnsi="Century" w:cs="Arial"/>
          <w:sz w:val="24"/>
          <w:szCs w:val="24"/>
        </w:rPr>
        <w:t>n de la normativa de un Estado m</w:t>
      </w:r>
      <w:r w:rsidR="002A1F63" w:rsidRPr="002C13F3">
        <w:rPr>
          <w:rFonts w:ascii="Century" w:hAnsi="Century" w:cs="Arial"/>
          <w:sz w:val="24"/>
          <w:szCs w:val="24"/>
        </w:rPr>
        <w:t>iembro que relaciona una reducci</w:t>
      </w:r>
      <w:r w:rsidR="00B07A97">
        <w:rPr>
          <w:rFonts w:ascii="Century" w:hAnsi="Century" w:cs="Arial"/>
          <w:sz w:val="24"/>
          <w:szCs w:val="24"/>
        </w:rPr>
        <w:t>ón de la base imponible del ISUC</w:t>
      </w:r>
      <w:r w:rsidR="002A1F63" w:rsidRPr="002C13F3">
        <w:rPr>
          <w:rFonts w:ascii="Century" w:hAnsi="Century" w:cs="Arial"/>
          <w:sz w:val="24"/>
          <w:szCs w:val="24"/>
        </w:rPr>
        <w:t xml:space="preserve"> con respecto al lugar de residencia del causante y del causahabiente en el momento del fallecimiento, o del lugar en el que está situado un bien inmueble objeto de sucesión, estableciendo una mayor carga fiscal para los no residentes o bienes inmuebles situados en el Estado miembro de imposición, constituye</w:t>
      </w:r>
      <w:r w:rsidR="00B13945">
        <w:rPr>
          <w:rFonts w:ascii="Century" w:hAnsi="Century" w:cs="Arial"/>
          <w:sz w:val="24"/>
          <w:szCs w:val="24"/>
        </w:rPr>
        <w:t>ndo</w:t>
      </w:r>
      <w:r w:rsidR="002A1F63" w:rsidRPr="002C13F3">
        <w:rPr>
          <w:rFonts w:ascii="Century" w:hAnsi="Century" w:cs="Arial"/>
          <w:sz w:val="24"/>
          <w:szCs w:val="24"/>
        </w:rPr>
        <w:t xml:space="preserve"> sin lugar a duda una restricción de la libre circulación de capitales.</w:t>
      </w:r>
    </w:p>
    <w:p w:rsidR="00E168FD" w:rsidRDefault="009E1BDB" w:rsidP="009E1BDB">
      <w:pPr>
        <w:spacing w:after="240" w:line="360" w:lineRule="auto"/>
        <w:jc w:val="both"/>
        <w:rPr>
          <w:rFonts w:ascii="Century" w:hAnsi="Century" w:cs="Arial"/>
          <w:color w:val="FF0000"/>
          <w:sz w:val="24"/>
          <w:szCs w:val="24"/>
        </w:rPr>
      </w:pPr>
      <w:r>
        <w:rPr>
          <w:rFonts w:ascii="Century" w:hAnsi="Century" w:cs="Arial"/>
          <w:sz w:val="24"/>
          <w:szCs w:val="24"/>
        </w:rPr>
        <w:tab/>
      </w:r>
      <w:r w:rsidR="00A24499" w:rsidRPr="002C13F3">
        <w:rPr>
          <w:rFonts w:ascii="Century" w:hAnsi="Century" w:cs="Arial"/>
          <w:sz w:val="24"/>
          <w:szCs w:val="24"/>
        </w:rPr>
        <w:t>En conclusión,</w:t>
      </w:r>
      <w:r w:rsidR="00B13945">
        <w:rPr>
          <w:rFonts w:ascii="Century" w:hAnsi="Century" w:cs="Arial"/>
          <w:sz w:val="24"/>
          <w:szCs w:val="24"/>
        </w:rPr>
        <w:t xml:space="preserve"> señala la referida sentencia, que</w:t>
      </w:r>
      <w:r w:rsidR="00A24499" w:rsidRPr="002C13F3">
        <w:rPr>
          <w:rFonts w:ascii="Century" w:hAnsi="Century" w:cs="Arial"/>
          <w:sz w:val="24"/>
          <w:szCs w:val="24"/>
        </w:rPr>
        <w:t xml:space="preserve"> e</w:t>
      </w:r>
      <w:r w:rsidR="003126CE" w:rsidRPr="002C13F3">
        <w:rPr>
          <w:rFonts w:ascii="Century" w:hAnsi="Century" w:cs="Arial"/>
          <w:sz w:val="24"/>
          <w:szCs w:val="24"/>
        </w:rPr>
        <w:t xml:space="preserve">l origen del problema no se encuentra en la ley estatal del impuesto, ni </w:t>
      </w:r>
      <w:r w:rsidR="00B13945">
        <w:rPr>
          <w:rFonts w:ascii="Century" w:hAnsi="Century" w:cs="Arial"/>
          <w:sz w:val="24"/>
          <w:szCs w:val="24"/>
        </w:rPr>
        <w:t xml:space="preserve">tan siquiera, en </w:t>
      </w:r>
      <w:r w:rsidR="003126CE" w:rsidRPr="002C13F3">
        <w:rPr>
          <w:rFonts w:ascii="Century" w:hAnsi="Century" w:cs="Arial"/>
          <w:sz w:val="24"/>
          <w:szCs w:val="24"/>
        </w:rPr>
        <w:t>los modos de sujeción al impuesto</w:t>
      </w:r>
      <w:r w:rsidR="0035465E">
        <w:rPr>
          <w:rFonts w:ascii="Century" w:hAnsi="Century" w:cs="Arial"/>
          <w:sz w:val="24"/>
          <w:szCs w:val="24"/>
        </w:rPr>
        <w:t>,</w:t>
      </w:r>
      <w:r w:rsidR="003126CE" w:rsidRPr="002C13F3">
        <w:rPr>
          <w:rFonts w:ascii="Century" w:hAnsi="Century" w:cs="Arial"/>
          <w:sz w:val="24"/>
          <w:szCs w:val="24"/>
        </w:rPr>
        <w:t xml:space="preserve"> sino que radica en la gran variedad de normas propias de las CCAA.</w:t>
      </w:r>
      <w:r w:rsidR="00F05595" w:rsidRPr="002C13F3">
        <w:rPr>
          <w:rFonts w:ascii="Century" w:hAnsi="Century" w:cs="Arial"/>
          <w:sz w:val="24"/>
          <w:szCs w:val="24"/>
        </w:rPr>
        <w:t xml:space="preserve"> </w:t>
      </w:r>
      <w:r w:rsidR="0035465E">
        <w:rPr>
          <w:rFonts w:ascii="Century" w:hAnsi="Century" w:cs="Arial"/>
          <w:sz w:val="24"/>
          <w:szCs w:val="24"/>
        </w:rPr>
        <w:t>El</w:t>
      </w:r>
      <w:r w:rsidR="00A24499" w:rsidRPr="002C13F3">
        <w:rPr>
          <w:rFonts w:ascii="Century" w:hAnsi="Century" w:cs="Arial"/>
          <w:sz w:val="24"/>
          <w:szCs w:val="24"/>
        </w:rPr>
        <w:t xml:space="preserve"> TJUE no cuestiona</w:t>
      </w:r>
      <w:r w:rsidR="0035465E">
        <w:rPr>
          <w:rFonts w:ascii="Century" w:hAnsi="Century" w:cs="Arial"/>
          <w:sz w:val="24"/>
          <w:szCs w:val="24"/>
        </w:rPr>
        <w:t>, sin embargo,</w:t>
      </w:r>
      <w:r w:rsidR="003126CE" w:rsidRPr="002C13F3">
        <w:rPr>
          <w:rFonts w:ascii="Century" w:hAnsi="Century" w:cs="Arial"/>
          <w:sz w:val="24"/>
          <w:szCs w:val="24"/>
        </w:rPr>
        <w:t xml:space="preserve"> el reparto de las competencias entre el Estado espa</w:t>
      </w:r>
      <w:r w:rsidR="00B07A97">
        <w:rPr>
          <w:rFonts w:ascii="Century" w:hAnsi="Century" w:cs="Arial"/>
          <w:sz w:val="24"/>
          <w:szCs w:val="24"/>
        </w:rPr>
        <w:t>ñol y sus CCAA respecto del ISUC</w:t>
      </w:r>
      <w:r w:rsidR="003126CE" w:rsidRPr="002C13F3">
        <w:rPr>
          <w:rFonts w:ascii="Century" w:hAnsi="Century" w:cs="Arial"/>
          <w:sz w:val="24"/>
          <w:szCs w:val="24"/>
        </w:rPr>
        <w:t>, ni tampoco la normativa de cada una de las CCAA, sino la legislación estatal</w:t>
      </w:r>
      <w:r w:rsidR="00F05595" w:rsidRPr="002C13F3">
        <w:rPr>
          <w:rStyle w:val="Refdenotaalpie"/>
          <w:rFonts w:ascii="Century" w:hAnsi="Century" w:cs="Arial"/>
          <w:sz w:val="24"/>
          <w:szCs w:val="24"/>
        </w:rPr>
        <w:footnoteReference w:id="67"/>
      </w:r>
      <w:r w:rsidR="003126CE" w:rsidRPr="002C13F3">
        <w:rPr>
          <w:rFonts w:ascii="Century" w:hAnsi="Century" w:cs="Arial"/>
          <w:sz w:val="24"/>
          <w:szCs w:val="24"/>
        </w:rPr>
        <w:t>.</w:t>
      </w:r>
      <w:r w:rsidR="0035465E">
        <w:rPr>
          <w:rFonts w:ascii="Century" w:hAnsi="Century" w:cs="Arial"/>
          <w:sz w:val="24"/>
          <w:szCs w:val="24"/>
        </w:rPr>
        <w:t>En definitiva, l</w:t>
      </w:r>
      <w:r w:rsidR="003126CE" w:rsidRPr="002C13F3">
        <w:rPr>
          <w:rFonts w:ascii="Century" w:hAnsi="Century" w:cs="Arial"/>
          <w:sz w:val="24"/>
          <w:szCs w:val="24"/>
        </w:rPr>
        <w:t xml:space="preserve">o que cuestiona es el criterio de conexión establecido en la Ley de Cesión, que </w:t>
      </w:r>
      <w:r w:rsidR="00F05595" w:rsidRPr="002C13F3">
        <w:rPr>
          <w:rFonts w:ascii="Century" w:hAnsi="Century" w:cs="Arial"/>
          <w:sz w:val="24"/>
          <w:szCs w:val="24"/>
        </w:rPr>
        <w:t>recoge</w:t>
      </w:r>
      <w:r w:rsidR="003126CE" w:rsidRPr="002C13F3">
        <w:rPr>
          <w:rFonts w:ascii="Century" w:hAnsi="Century" w:cs="Arial"/>
          <w:sz w:val="24"/>
          <w:szCs w:val="24"/>
        </w:rPr>
        <w:t xml:space="preserve"> la aplicación </w:t>
      </w:r>
      <w:r w:rsidR="00F05595" w:rsidRPr="002C13F3">
        <w:rPr>
          <w:rFonts w:ascii="Century" w:hAnsi="Century" w:cs="Arial"/>
          <w:sz w:val="24"/>
          <w:szCs w:val="24"/>
        </w:rPr>
        <w:t xml:space="preserve">de los </w:t>
      </w:r>
      <w:r w:rsidR="0035465E">
        <w:rPr>
          <w:rFonts w:ascii="Century" w:hAnsi="Century" w:cs="Arial"/>
          <w:sz w:val="24"/>
          <w:szCs w:val="24"/>
        </w:rPr>
        <w:t>beneficio</w:t>
      </w:r>
      <w:r w:rsidR="00F05595" w:rsidRPr="002C13F3">
        <w:rPr>
          <w:rFonts w:ascii="Century" w:hAnsi="Century" w:cs="Arial"/>
          <w:sz w:val="24"/>
          <w:szCs w:val="24"/>
        </w:rPr>
        <w:t xml:space="preserve">s fiscales sólo </w:t>
      </w:r>
      <w:r w:rsidR="003126CE" w:rsidRPr="002C13F3">
        <w:rPr>
          <w:rFonts w:ascii="Century" w:hAnsi="Century" w:cs="Arial"/>
          <w:sz w:val="24"/>
          <w:szCs w:val="24"/>
        </w:rPr>
        <w:t>a los sujetos pasivos residentes en alguna Comunidad Autónoma o cuando el inmueble está situado en una de ellas</w:t>
      </w:r>
      <w:r w:rsidR="00F05595" w:rsidRPr="002C13F3">
        <w:rPr>
          <w:rFonts w:ascii="Century" w:hAnsi="Century" w:cs="Arial"/>
          <w:sz w:val="24"/>
          <w:szCs w:val="24"/>
        </w:rPr>
        <w:t xml:space="preserve">. </w:t>
      </w:r>
      <w:r w:rsidR="0035465E">
        <w:rPr>
          <w:rFonts w:ascii="Century" w:hAnsi="Century" w:cs="Arial"/>
          <w:sz w:val="24"/>
          <w:szCs w:val="24"/>
        </w:rPr>
        <w:t>L</w:t>
      </w:r>
      <w:r w:rsidR="003126CE" w:rsidRPr="002C13F3">
        <w:rPr>
          <w:rFonts w:ascii="Century" w:hAnsi="Century" w:cs="Arial"/>
          <w:sz w:val="24"/>
          <w:szCs w:val="24"/>
        </w:rPr>
        <w:t>a justicia europea recrimina</w:t>
      </w:r>
      <w:r w:rsidR="0035465E">
        <w:rPr>
          <w:rFonts w:ascii="Century" w:hAnsi="Century" w:cs="Arial"/>
          <w:sz w:val="24"/>
          <w:szCs w:val="24"/>
        </w:rPr>
        <w:t>, por tanto,</w:t>
      </w:r>
      <w:r w:rsidR="003126CE" w:rsidRPr="002C13F3">
        <w:rPr>
          <w:rFonts w:ascii="Century" w:hAnsi="Century" w:cs="Arial"/>
          <w:sz w:val="24"/>
          <w:szCs w:val="24"/>
        </w:rPr>
        <w:t xml:space="preserve"> el hecho de que los no residentes no pueden </w:t>
      </w:r>
      <w:r w:rsidR="00F05595" w:rsidRPr="002C13F3">
        <w:rPr>
          <w:rFonts w:ascii="Century" w:hAnsi="Century" w:cs="Arial"/>
          <w:sz w:val="24"/>
          <w:szCs w:val="24"/>
        </w:rPr>
        <w:t xml:space="preserve">beneficiarse de las </w:t>
      </w:r>
      <w:r w:rsidR="003126CE" w:rsidRPr="002C13F3">
        <w:rPr>
          <w:rFonts w:ascii="Century" w:hAnsi="Century" w:cs="Arial"/>
          <w:sz w:val="24"/>
          <w:szCs w:val="24"/>
        </w:rPr>
        <w:t xml:space="preserve">deducciones </w:t>
      </w:r>
      <w:r w:rsidR="00F05595" w:rsidRPr="002C13F3">
        <w:rPr>
          <w:rFonts w:ascii="Century" w:hAnsi="Century" w:cs="Arial"/>
          <w:sz w:val="24"/>
          <w:szCs w:val="24"/>
        </w:rPr>
        <w:t>autonómicas del estado español, s</w:t>
      </w:r>
      <w:r w:rsidR="003126CE" w:rsidRPr="002C13F3">
        <w:rPr>
          <w:rFonts w:ascii="Century" w:hAnsi="Century" w:cs="Arial"/>
          <w:sz w:val="24"/>
          <w:szCs w:val="24"/>
        </w:rPr>
        <w:t xml:space="preserve">iendo contrario a la </w:t>
      </w:r>
      <w:r w:rsidR="00D92848">
        <w:rPr>
          <w:rFonts w:ascii="Century" w:hAnsi="Century" w:cs="Arial"/>
          <w:sz w:val="24"/>
          <w:szCs w:val="24"/>
        </w:rPr>
        <w:t>UE</w:t>
      </w:r>
      <w:r w:rsidR="003126CE" w:rsidRPr="002C13F3">
        <w:rPr>
          <w:rStyle w:val="Refdenotaalpie"/>
          <w:rFonts w:ascii="Century" w:hAnsi="Century" w:cs="Arial"/>
          <w:sz w:val="24"/>
          <w:szCs w:val="24"/>
        </w:rPr>
        <w:footnoteReference w:id="68"/>
      </w:r>
      <w:r w:rsidR="003126CE" w:rsidRPr="00B95B9B">
        <w:rPr>
          <w:rFonts w:ascii="Century" w:hAnsi="Century" w:cs="Arial"/>
          <w:sz w:val="24"/>
          <w:szCs w:val="24"/>
        </w:rPr>
        <w:t xml:space="preserve">. </w:t>
      </w:r>
      <w:r w:rsidR="0035465E" w:rsidRPr="00B95B9B">
        <w:rPr>
          <w:rFonts w:ascii="Century" w:hAnsi="Century" w:cs="Arial"/>
          <w:sz w:val="24"/>
          <w:szCs w:val="24"/>
        </w:rPr>
        <w:t xml:space="preserve">No </w:t>
      </w:r>
      <w:r w:rsidR="0035465E" w:rsidRPr="00B95B9B">
        <w:rPr>
          <w:rFonts w:ascii="Century" w:hAnsi="Century" w:cs="Arial"/>
          <w:sz w:val="24"/>
          <w:szCs w:val="24"/>
        </w:rPr>
        <w:lastRenderedPageBreak/>
        <w:t>debemos olvida</w:t>
      </w:r>
      <w:r w:rsidR="00E168FD" w:rsidRPr="00B95B9B">
        <w:rPr>
          <w:rFonts w:ascii="Century" w:hAnsi="Century" w:cs="Arial"/>
          <w:sz w:val="24"/>
          <w:szCs w:val="24"/>
        </w:rPr>
        <w:t>r que los no residentes tributan</w:t>
      </w:r>
      <w:r w:rsidR="0035465E" w:rsidRPr="00B95B9B">
        <w:rPr>
          <w:rFonts w:ascii="Century" w:hAnsi="Century" w:cs="Arial"/>
          <w:sz w:val="24"/>
          <w:szCs w:val="24"/>
        </w:rPr>
        <w:t xml:space="preserve"> por la modalidad real de </w:t>
      </w:r>
      <w:r w:rsidR="00E168FD" w:rsidRPr="00B95B9B">
        <w:rPr>
          <w:rFonts w:ascii="Century" w:hAnsi="Century" w:cs="Arial"/>
          <w:sz w:val="24"/>
          <w:szCs w:val="24"/>
        </w:rPr>
        <w:t xml:space="preserve">gravamen, es decir, </w:t>
      </w:r>
      <w:r w:rsidR="00E168FD" w:rsidRPr="00B95B9B">
        <w:rPr>
          <w:rFonts w:ascii="Century" w:hAnsi="Century"/>
          <w:sz w:val="24"/>
          <w:szCs w:val="24"/>
        </w:rPr>
        <w:t xml:space="preserve">sólo por aquellos bienes y derechos que se adquieran </w:t>
      </w:r>
      <w:r w:rsidR="00E168FD" w:rsidRPr="00B95B9B">
        <w:rPr>
          <w:rFonts w:ascii="Century" w:hAnsi="Century"/>
          <w:i/>
          <w:sz w:val="24"/>
          <w:szCs w:val="24"/>
        </w:rPr>
        <w:t>mortis causa</w:t>
      </w:r>
      <w:r w:rsidR="00E168FD" w:rsidRPr="00B95B9B">
        <w:rPr>
          <w:rFonts w:ascii="Century" w:hAnsi="Century"/>
          <w:sz w:val="24"/>
          <w:szCs w:val="24"/>
        </w:rPr>
        <w:t xml:space="preserve"> y que estuvieran situados, pudieran ejercitarse o hubieran de cumplirse en España, </w:t>
      </w:r>
      <w:r w:rsidR="00E168FD" w:rsidRPr="00B95B9B">
        <w:rPr>
          <w:rFonts w:ascii="Century" w:eastAsiaTheme="minorHAnsi" w:hAnsi="Century"/>
          <w:sz w:val="24"/>
          <w:szCs w:val="24"/>
          <w:lang w:eastAsia="en-US"/>
        </w:rPr>
        <w:t>así como por la percepción de cantidades derivadas de contratos de seguros sobre la vida cuando el contrato haya sido realizado con entidades aseguradoras españolas o se haya celebrado en España con entidades extranjeras que operen en ella</w:t>
      </w:r>
      <w:r w:rsidR="00E168FD" w:rsidRPr="00B95B9B">
        <w:rPr>
          <w:rFonts w:ascii="Century" w:hAnsi="Century"/>
          <w:sz w:val="24"/>
          <w:szCs w:val="24"/>
        </w:rPr>
        <w:t>.</w:t>
      </w:r>
    </w:p>
    <w:p w:rsidR="003126CE" w:rsidRPr="002C13F3" w:rsidRDefault="00181241" w:rsidP="00181241">
      <w:pPr>
        <w:spacing w:after="240" w:line="360" w:lineRule="auto"/>
        <w:jc w:val="both"/>
        <w:rPr>
          <w:rFonts w:ascii="Century" w:hAnsi="Century" w:cs="Arial"/>
          <w:sz w:val="24"/>
          <w:szCs w:val="24"/>
        </w:rPr>
      </w:pPr>
      <w:r>
        <w:rPr>
          <w:rFonts w:ascii="Century" w:hAnsi="Century" w:cs="Arial"/>
          <w:sz w:val="24"/>
          <w:szCs w:val="24"/>
        </w:rPr>
        <w:tab/>
      </w:r>
      <w:r w:rsidR="005574EB" w:rsidRPr="002C13F3">
        <w:rPr>
          <w:rFonts w:ascii="Century" w:hAnsi="Century" w:cs="Arial"/>
          <w:sz w:val="24"/>
          <w:szCs w:val="24"/>
        </w:rPr>
        <w:t>GARCÍA PRATS</w:t>
      </w:r>
      <w:r w:rsidR="003126CE" w:rsidRPr="002C13F3">
        <w:rPr>
          <w:rFonts w:ascii="Century" w:hAnsi="Century" w:cs="Arial"/>
          <w:sz w:val="24"/>
          <w:szCs w:val="24"/>
        </w:rPr>
        <w:t xml:space="preserve"> </w:t>
      </w:r>
      <w:r w:rsidR="0035465E">
        <w:rPr>
          <w:rFonts w:ascii="Century" w:hAnsi="Century" w:cs="Arial"/>
          <w:sz w:val="24"/>
          <w:szCs w:val="24"/>
        </w:rPr>
        <w:t>recalca</w:t>
      </w:r>
      <w:r w:rsidR="003126CE" w:rsidRPr="002C13F3">
        <w:rPr>
          <w:rFonts w:ascii="Century" w:hAnsi="Century" w:cs="Arial"/>
          <w:sz w:val="24"/>
          <w:szCs w:val="24"/>
        </w:rPr>
        <w:t xml:space="preserve"> que el recurso por incumplimiento interpuesto por la Comisión afecta únicamente </w:t>
      </w:r>
      <w:r w:rsidR="00B07A97">
        <w:rPr>
          <w:rFonts w:ascii="Century" w:hAnsi="Century" w:cs="Arial"/>
          <w:sz w:val="24"/>
          <w:szCs w:val="24"/>
        </w:rPr>
        <w:t>a la regulación estatal del ISUC</w:t>
      </w:r>
      <w:r w:rsidR="00FA1CDD" w:rsidRPr="002C13F3">
        <w:rPr>
          <w:rFonts w:ascii="Century" w:hAnsi="Century" w:cs="Arial"/>
          <w:sz w:val="24"/>
          <w:szCs w:val="24"/>
        </w:rPr>
        <w:t>, sin</w:t>
      </w:r>
      <w:r w:rsidR="003126CE" w:rsidRPr="002C13F3">
        <w:rPr>
          <w:rFonts w:ascii="Century" w:hAnsi="Century" w:cs="Arial"/>
          <w:sz w:val="24"/>
          <w:szCs w:val="24"/>
        </w:rPr>
        <w:t xml:space="preserve"> analiza</w:t>
      </w:r>
      <w:r w:rsidR="00FA1CDD" w:rsidRPr="002C13F3">
        <w:rPr>
          <w:rFonts w:ascii="Century" w:hAnsi="Century" w:cs="Arial"/>
          <w:sz w:val="24"/>
          <w:szCs w:val="24"/>
        </w:rPr>
        <w:t>r</w:t>
      </w:r>
      <w:r w:rsidR="003126CE" w:rsidRPr="002C13F3">
        <w:rPr>
          <w:rFonts w:ascii="Century" w:hAnsi="Century" w:cs="Arial"/>
          <w:sz w:val="24"/>
          <w:szCs w:val="24"/>
        </w:rPr>
        <w:t xml:space="preserve"> la incompatibilidad de las normas tributarias aprobadas por las CCAA en el ámbito de sus competencias. De tal modo que no se juzga las medidas internas que el estado español utiliza para asignar la competencia tributaria a las CCAA, </w:t>
      </w:r>
      <w:r w:rsidR="00FA1CDD" w:rsidRPr="002C13F3">
        <w:rPr>
          <w:rFonts w:ascii="Century" w:hAnsi="Century" w:cs="Arial"/>
          <w:sz w:val="24"/>
          <w:szCs w:val="24"/>
        </w:rPr>
        <w:t xml:space="preserve">si no que sitúa al Estado español como responsable de la adecuación de su normativa a las exigencias comunitarias. </w:t>
      </w:r>
      <w:r w:rsidR="003126CE" w:rsidRPr="002C13F3">
        <w:rPr>
          <w:rFonts w:ascii="Century" w:hAnsi="Century" w:cs="Arial"/>
          <w:sz w:val="24"/>
          <w:szCs w:val="24"/>
        </w:rPr>
        <w:t xml:space="preserve"> </w:t>
      </w:r>
    </w:p>
    <w:p w:rsidR="00FA1CDD" w:rsidRPr="002C13F3" w:rsidRDefault="00181241" w:rsidP="00181241">
      <w:pPr>
        <w:spacing w:after="0" w:line="360" w:lineRule="auto"/>
        <w:jc w:val="both"/>
        <w:rPr>
          <w:rFonts w:ascii="Century" w:hAnsi="Century" w:cs="Arial"/>
          <w:sz w:val="24"/>
          <w:szCs w:val="24"/>
        </w:rPr>
      </w:pPr>
      <w:r>
        <w:rPr>
          <w:rFonts w:ascii="Century" w:hAnsi="Century" w:cs="Arial"/>
          <w:sz w:val="24"/>
          <w:szCs w:val="24"/>
        </w:rPr>
        <w:tab/>
      </w:r>
      <w:r w:rsidR="003126CE" w:rsidRPr="002C13F3">
        <w:rPr>
          <w:rFonts w:ascii="Century" w:hAnsi="Century" w:cs="Arial"/>
          <w:sz w:val="24"/>
          <w:szCs w:val="24"/>
        </w:rPr>
        <w:t>La Comisión identifica en su demanda los preceptos de la normativa española que generan el resultado contrario a las exigencias del ordenamiento de la UE, todos ellos relacionados con los puntos de conexión que concretan la ce</w:t>
      </w:r>
      <w:r w:rsidR="00FA1CDD" w:rsidRPr="002C13F3">
        <w:rPr>
          <w:rFonts w:ascii="Century" w:hAnsi="Century" w:cs="Arial"/>
          <w:sz w:val="24"/>
          <w:szCs w:val="24"/>
        </w:rPr>
        <w:t>sión del impuesto a las CCAA (</w:t>
      </w:r>
      <w:r w:rsidR="003126CE" w:rsidRPr="002C13F3">
        <w:rPr>
          <w:rFonts w:ascii="Century" w:hAnsi="Century" w:cs="Arial"/>
          <w:sz w:val="24"/>
          <w:szCs w:val="24"/>
        </w:rPr>
        <w:t>el art. 32 de la Ley de Cesión</w:t>
      </w:r>
      <w:r w:rsidR="00FA1CDD" w:rsidRPr="002C13F3">
        <w:rPr>
          <w:rFonts w:ascii="Century" w:hAnsi="Century" w:cs="Arial"/>
          <w:sz w:val="24"/>
          <w:szCs w:val="24"/>
        </w:rPr>
        <w:t>)</w:t>
      </w:r>
      <w:r w:rsidR="003126CE" w:rsidRPr="002C13F3">
        <w:rPr>
          <w:rFonts w:ascii="Century" w:hAnsi="Century" w:cs="Arial"/>
          <w:sz w:val="24"/>
          <w:szCs w:val="24"/>
        </w:rPr>
        <w:t xml:space="preserve">, y la atribución de competencias normativas a </w:t>
      </w:r>
      <w:r w:rsidR="00B07A97">
        <w:rPr>
          <w:rFonts w:ascii="Century" w:hAnsi="Century" w:cs="Arial"/>
          <w:sz w:val="24"/>
          <w:szCs w:val="24"/>
        </w:rPr>
        <w:t>las CCAA en relación con el ISUC</w:t>
      </w:r>
      <w:r w:rsidR="003126CE" w:rsidRPr="002C13F3">
        <w:rPr>
          <w:rFonts w:ascii="Century" w:hAnsi="Century" w:cs="Arial"/>
          <w:sz w:val="24"/>
          <w:szCs w:val="24"/>
        </w:rPr>
        <w:t xml:space="preserve"> </w:t>
      </w:r>
      <w:r w:rsidR="00FA1CDD" w:rsidRPr="002C13F3">
        <w:rPr>
          <w:rFonts w:ascii="Century" w:hAnsi="Century" w:cs="Arial"/>
          <w:sz w:val="24"/>
          <w:szCs w:val="24"/>
        </w:rPr>
        <w:t>(</w:t>
      </w:r>
      <w:r w:rsidR="003126CE" w:rsidRPr="002C13F3">
        <w:rPr>
          <w:rFonts w:ascii="Century" w:hAnsi="Century" w:cs="Arial"/>
          <w:sz w:val="24"/>
          <w:szCs w:val="24"/>
        </w:rPr>
        <w:t>el art. 48 de la Ley de Cesión</w:t>
      </w:r>
      <w:r w:rsidR="00FA1CDD" w:rsidRPr="002C13F3">
        <w:rPr>
          <w:rFonts w:ascii="Century" w:hAnsi="Century" w:cs="Arial"/>
          <w:sz w:val="24"/>
          <w:szCs w:val="24"/>
        </w:rPr>
        <w:t>). Así se cuestionan por su posible vulneración con la normativa de la Unión</w:t>
      </w:r>
      <w:r w:rsidR="00FA1CDD" w:rsidRPr="00514069">
        <w:rPr>
          <w:rFonts w:cstheme="minorHAnsi"/>
          <w:sz w:val="24"/>
          <w:szCs w:val="24"/>
        </w:rPr>
        <w:t>:</w:t>
      </w:r>
    </w:p>
    <w:p w:rsidR="003126CE" w:rsidRPr="002C13F3" w:rsidRDefault="00FA1CDD" w:rsidP="00574C0A">
      <w:pPr>
        <w:pStyle w:val="Prrafodelista"/>
        <w:numPr>
          <w:ilvl w:val="0"/>
          <w:numId w:val="3"/>
        </w:numPr>
        <w:tabs>
          <w:tab w:val="left" w:pos="993"/>
        </w:tabs>
        <w:spacing w:after="240" w:line="360" w:lineRule="auto"/>
        <w:ind w:left="993" w:hanging="284"/>
        <w:jc w:val="both"/>
        <w:rPr>
          <w:rFonts w:ascii="Century" w:hAnsi="Century" w:cs="Arial"/>
          <w:sz w:val="24"/>
          <w:szCs w:val="24"/>
        </w:rPr>
      </w:pPr>
      <w:r w:rsidRPr="002C13F3">
        <w:rPr>
          <w:rFonts w:ascii="Century" w:hAnsi="Century" w:cs="Arial"/>
          <w:sz w:val="24"/>
          <w:szCs w:val="24"/>
        </w:rPr>
        <w:t>l</w:t>
      </w:r>
      <w:r w:rsidR="003126CE" w:rsidRPr="002C13F3">
        <w:rPr>
          <w:rFonts w:ascii="Century" w:hAnsi="Century" w:cs="Arial"/>
          <w:sz w:val="24"/>
          <w:szCs w:val="24"/>
        </w:rPr>
        <w:t>os arts. 20.4 y 20.5 de la LISD, en lo que se refiere a la aplicación de las reducciones en la base imponible.</w:t>
      </w:r>
    </w:p>
    <w:p w:rsidR="002A2BB4" w:rsidRPr="002C13F3" w:rsidRDefault="00FA1CDD" w:rsidP="00574C0A">
      <w:pPr>
        <w:pStyle w:val="Prrafodelista"/>
        <w:numPr>
          <w:ilvl w:val="0"/>
          <w:numId w:val="3"/>
        </w:numPr>
        <w:tabs>
          <w:tab w:val="left" w:pos="993"/>
        </w:tabs>
        <w:spacing w:after="240" w:line="360" w:lineRule="auto"/>
        <w:ind w:left="993" w:hanging="284"/>
        <w:jc w:val="both"/>
        <w:rPr>
          <w:rFonts w:ascii="Century" w:hAnsi="Century" w:cs="Arial"/>
          <w:sz w:val="24"/>
          <w:szCs w:val="24"/>
        </w:rPr>
      </w:pPr>
      <w:r w:rsidRPr="002C13F3">
        <w:rPr>
          <w:rFonts w:ascii="Century" w:hAnsi="Century" w:cs="Arial"/>
          <w:sz w:val="24"/>
          <w:szCs w:val="24"/>
        </w:rPr>
        <w:t>e</w:t>
      </w:r>
      <w:r w:rsidR="003126CE" w:rsidRPr="002C13F3">
        <w:rPr>
          <w:rFonts w:ascii="Century" w:hAnsi="Century" w:cs="Arial"/>
          <w:sz w:val="24"/>
          <w:szCs w:val="24"/>
        </w:rPr>
        <w:t>l a</w:t>
      </w:r>
      <w:r w:rsidRPr="002C13F3">
        <w:rPr>
          <w:rFonts w:ascii="Century" w:hAnsi="Century" w:cs="Arial"/>
          <w:sz w:val="24"/>
          <w:szCs w:val="24"/>
        </w:rPr>
        <w:t>rt. 21.3 de la LISD, respecto</w:t>
      </w:r>
      <w:r w:rsidR="003126CE" w:rsidRPr="002C13F3">
        <w:rPr>
          <w:rFonts w:ascii="Century" w:hAnsi="Century" w:cs="Arial"/>
          <w:sz w:val="24"/>
          <w:szCs w:val="24"/>
        </w:rPr>
        <w:t xml:space="preserve"> a la tarifa del impuesto.</w:t>
      </w:r>
    </w:p>
    <w:p w:rsidR="003126CE" w:rsidRPr="002C13F3" w:rsidRDefault="00FA1CDD" w:rsidP="00574C0A">
      <w:pPr>
        <w:pStyle w:val="Prrafodelista"/>
        <w:numPr>
          <w:ilvl w:val="0"/>
          <w:numId w:val="3"/>
        </w:numPr>
        <w:tabs>
          <w:tab w:val="left" w:pos="993"/>
        </w:tabs>
        <w:spacing w:after="240" w:line="360" w:lineRule="auto"/>
        <w:ind w:left="993" w:hanging="284"/>
        <w:jc w:val="both"/>
        <w:rPr>
          <w:rFonts w:ascii="Century" w:hAnsi="Century" w:cs="Arial"/>
          <w:sz w:val="24"/>
          <w:szCs w:val="24"/>
        </w:rPr>
      </w:pPr>
      <w:r w:rsidRPr="002C13F3">
        <w:rPr>
          <w:rFonts w:ascii="Century" w:hAnsi="Century" w:cs="Arial"/>
          <w:sz w:val="24"/>
          <w:szCs w:val="24"/>
        </w:rPr>
        <w:t>e</w:t>
      </w:r>
      <w:r w:rsidR="003126CE" w:rsidRPr="002C13F3">
        <w:rPr>
          <w:rFonts w:ascii="Century" w:hAnsi="Century" w:cs="Arial"/>
          <w:sz w:val="24"/>
          <w:szCs w:val="24"/>
        </w:rPr>
        <w:t xml:space="preserve">l art. 22.4 de la LISD, </w:t>
      </w:r>
      <w:r w:rsidRPr="002C13F3">
        <w:rPr>
          <w:rFonts w:ascii="Century" w:hAnsi="Century" w:cs="Arial"/>
          <w:sz w:val="24"/>
          <w:szCs w:val="24"/>
        </w:rPr>
        <w:t xml:space="preserve">referido </w:t>
      </w:r>
      <w:r w:rsidR="003126CE" w:rsidRPr="002C13F3">
        <w:rPr>
          <w:rFonts w:ascii="Century" w:hAnsi="Century" w:cs="Arial"/>
          <w:sz w:val="24"/>
          <w:szCs w:val="24"/>
        </w:rPr>
        <w:t xml:space="preserve">a la aplicación de los coeficientes multiplicadores por patrimonio preexistente </w:t>
      </w:r>
      <w:r w:rsidRPr="002C13F3">
        <w:rPr>
          <w:rFonts w:ascii="Century" w:hAnsi="Century" w:cs="Arial"/>
          <w:sz w:val="24"/>
          <w:szCs w:val="24"/>
        </w:rPr>
        <w:t xml:space="preserve">sobre </w:t>
      </w:r>
      <w:r w:rsidR="003126CE" w:rsidRPr="002C13F3">
        <w:rPr>
          <w:rFonts w:ascii="Century" w:hAnsi="Century" w:cs="Arial"/>
          <w:sz w:val="24"/>
          <w:szCs w:val="24"/>
        </w:rPr>
        <w:t>la cuota íntegra del impuesto</w:t>
      </w:r>
      <w:r w:rsidR="003126CE" w:rsidRPr="002C13F3">
        <w:rPr>
          <w:rStyle w:val="Refdenotaalpie"/>
          <w:rFonts w:ascii="Century" w:hAnsi="Century" w:cs="Arial"/>
          <w:sz w:val="24"/>
          <w:szCs w:val="24"/>
        </w:rPr>
        <w:footnoteReference w:id="69"/>
      </w:r>
      <w:r w:rsidR="003126CE" w:rsidRPr="002C13F3">
        <w:rPr>
          <w:rFonts w:ascii="Century" w:hAnsi="Century" w:cs="Arial"/>
          <w:sz w:val="24"/>
          <w:szCs w:val="24"/>
        </w:rPr>
        <w:t>.</w:t>
      </w:r>
    </w:p>
    <w:p w:rsidR="003126CE" w:rsidRPr="002C13F3" w:rsidRDefault="003126CE" w:rsidP="002D11BC">
      <w:pPr>
        <w:spacing w:after="240" w:line="360" w:lineRule="auto"/>
        <w:jc w:val="both"/>
        <w:rPr>
          <w:rFonts w:ascii="Century" w:hAnsi="Century" w:cs="Arial"/>
          <w:sz w:val="24"/>
          <w:szCs w:val="24"/>
        </w:rPr>
      </w:pPr>
      <w:r w:rsidRPr="002C13F3">
        <w:rPr>
          <w:rFonts w:ascii="Century" w:hAnsi="Century" w:cs="Arial"/>
          <w:sz w:val="24"/>
          <w:szCs w:val="24"/>
        </w:rPr>
        <w:lastRenderedPageBreak/>
        <w:tab/>
      </w:r>
      <w:r w:rsidR="00FA1CDD" w:rsidRPr="002C13F3">
        <w:rPr>
          <w:rFonts w:ascii="Century" w:hAnsi="Century" w:cs="Arial"/>
          <w:sz w:val="24"/>
          <w:szCs w:val="24"/>
        </w:rPr>
        <w:t>Esta sentencia implica, en definitiva,</w:t>
      </w:r>
      <w:r w:rsidRPr="002C13F3">
        <w:rPr>
          <w:rFonts w:ascii="Century" w:hAnsi="Century" w:cs="Arial"/>
          <w:sz w:val="24"/>
          <w:szCs w:val="24"/>
        </w:rPr>
        <w:t xml:space="preserve"> una </w:t>
      </w:r>
      <w:r w:rsidR="00FA1CDD" w:rsidRPr="002C13F3">
        <w:rPr>
          <w:rFonts w:ascii="Century" w:hAnsi="Century" w:cs="Arial"/>
          <w:sz w:val="24"/>
          <w:szCs w:val="24"/>
        </w:rPr>
        <w:t xml:space="preserve">imperativa </w:t>
      </w:r>
      <w:r w:rsidR="00B07A97">
        <w:rPr>
          <w:rFonts w:ascii="Century" w:hAnsi="Century" w:cs="Arial"/>
          <w:sz w:val="24"/>
          <w:szCs w:val="24"/>
        </w:rPr>
        <w:t>corrección del régimen del ISUC</w:t>
      </w:r>
      <w:r w:rsidRPr="002C13F3">
        <w:rPr>
          <w:rFonts w:ascii="Century" w:hAnsi="Century" w:cs="Arial"/>
          <w:sz w:val="24"/>
          <w:szCs w:val="24"/>
        </w:rPr>
        <w:t xml:space="preserve"> español, obligando a realizar los oportunos cambios normativos. </w:t>
      </w:r>
      <w:r w:rsidR="001D43B5" w:rsidRPr="002C13F3">
        <w:rPr>
          <w:rFonts w:ascii="Century" w:hAnsi="Century" w:cs="Arial"/>
          <w:sz w:val="24"/>
          <w:szCs w:val="24"/>
        </w:rPr>
        <w:t xml:space="preserve">Ahora bien, cumplir con </w:t>
      </w:r>
      <w:r w:rsidRPr="002C13F3">
        <w:rPr>
          <w:rFonts w:ascii="Century" w:hAnsi="Century" w:cs="Arial"/>
          <w:sz w:val="24"/>
          <w:szCs w:val="24"/>
        </w:rPr>
        <w:t>lo establecido en esta sentencia</w:t>
      </w:r>
      <w:r w:rsidR="002A2BB4" w:rsidRPr="002C13F3">
        <w:rPr>
          <w:rFonts w:ascii="Century" w:hAnsi="Century" w:cs="Arial"/>
          <w:sz w:val="24"/>
          <w:szCs w:val="24"/>
        </w:rPr>
        <w:t xml:space="preserve"> resulta complejo</w:t>
      </w:r>
      <w:r w:rsidRPr="002C13F3">
        <w:rPr>
          <w:rFonts w:ascii="Century" w:hAnsi="Century" w:cs="Arial"/>
          <w:sz w:val="24"/>
          <w:szCs w:val="24"/>
        </w:rPr>
        <w:t>, debido a la diversidad de regímenes del impuesto en el interior de</w:t>
      </w:r>
      <w:r w:rsidR="0035465E">
        <w:rPr>
          <w:rFonts w:ascii="Century" w:hAnsi="Century" w:cs="Arial"/>
          <w:sz w:val="24"/>
          <w:szCs w:val="24"/>
        </w:rPr>
        <w:t xml:space="preserve"> nuestro</w:t>
      </w:r>
      <w:r w:rsidRPr="002C13F3">
        <w:rPr>
          <w:rFonts w:ascii="Century" w:hAnsi="Century" w:cs="Arial"/>
          <w:sz w:val="24"/>
          <w:szCs w:val="24"/>
        </w:rPr>
        <w:t xml:space="preserve"> territorio</w:t>
      </w:r>
      <w:r w:rsidR="0035465E">
        <w:rPr>
          <w:rFonts w:ascii="Century" w:hAnsi="Century" w:cs="Arial"/>
          <w:sz w:val="24"/>
          <w:szCs w:val="24"/>
        </w:rPr>
        <w:t xml:space="preserve"> como ya sabemos</w:t>
      </w:r>
      <w:r w:rsidRPr="002C13F3">
        <w:rPr>
          <w:rStyle w:val="Refdenotaalpie"/>
          <w:rFonts w:ascii="Century" w:hAnsi="Century" w:cs="Arial"/>
          <w:sz w:val="24"/>
          <w:szCs w:val="24"/>
        </w:rPr>
        <w:footnoteReference w:id="70"/>
      </w:r>
      <w:r w:rsidRPr="002C13F3">
        <w:rPr>
          <w:rFonts w:ascii="Century" w:hAnsi="Century" w:cs="Arial"/>
          <w:sz w:val="24"/>
          <w:szCs w:val="24"/>
        </w:rPr>
        <w:t xml:space="preserve">. </w:t>
      </w:r>
    </w:p>
    <w:p w:rsidR="003126CE" w:rsidRPr="002C13F3" w:rsidRDefault="003126CE" w:rsidP="00B95B9B">
      <w:pPr>
        <w:spacing w:after="240" w:line="360" w:lineRule="auto"/>
        <w:ind w:firstLine="708"/>
        <w:jc w:val="both"/>
        <w:rPr>
          <w:rFonts w:ascii="Century" w:hAnsi="Century" w:cs="Arial"/>
          <w:sz w:val="24"/>
          <w:szCs w:val="24"/>
        </w:rPr>
      </w:pPr>
      <w:r w:rsidRPr="002C13F3">
        <w:rPr>
          <w:rFonts w:ascii="Century" w:hAnsi="Century" w:cs="Arial"/>
          <w:sz w:val="24"/>
          <w:szCs w:val="24"/>
        </w:rPr>
        <w:t xml:space="preserve">FERNÁNDEZ JUNQUERA </w:t>
      </w:r>
      <w:r w:rsidR="0035465E">
        <w:rPr>
          <w:rFonts w:ascii="Century" w:hAnsi="Century" w:cs="Arial"/>
          <w:sz w:val="24"/>
          <w:szCs w:val="24"/>
        </w:rPr>
        <w:t xml:space="preserve">se detiene en </w:t>
      </w:r>
      <w:r w:rsidRPr="002C13F3">
        <w:rPr>
          <w:rFonts w:ascii="Century" w:hAnsi="Century" w:cs="Arial"/>
          <w:sz w:val="24"/>
          <w:szCs w:val="24"/>
        </w:rPr>
        <w:t>algunas cuestiones relativas a la argumentación de las partes.</w:t>
      </w:r>
      <w:r w:rsidR="0035465E">
        <w:rPr>
          <w:rFonts w:ascii="Century" w:hAnsi="Century" w:cs="Arial"/>
          <w:sz w:val="24"/>
          <w:szCs w:val="24"/>
        </w:rPr>
        <w:t xml:space="preserve"> Así, l</w:t>
      </w:r>
      <w:r w:rsidRPr="002C13F3">
        <w:rPr>
          <w:rFonts w:ascii="Century" w:hAnsi="Century" w:cs="Arial"/>
          <w:sz w:val="24"/>
          <w:szCs w:val="24"/>
        </w:rPr>
        <w:t>a Comisión Europea denuncia que los contribuyentes que deben aplicarse la legislación estatal deben soportar una carga fiscal más elevada</w:t>
      </w:r>
      <w:r w:rsidR="0035465E">
        <w:rPr>
          <w:rFonts w:ascii="Century" w:hAnsi="Century" w:cs="Arial"/>
          <w:sz w:val="24"/>
          <w:szCs w:val="24"/>
        </w:rPr>
        <w:t>,</w:t>
      </w:r>
      <w:r w:rsidRPr="002C13F3">
        <w:rPr>
          <w:rFonts w:ascii="Century" w:hAnsi="Century" w:cs="Arial"/>
          <w:sz w:val="24"/>
          <w:szCs w:val="24"/>
        </w:rPr>
        <w:t xml:space="preserve"> que la que tienen que soportar aquellos contribuyentes que se les aplica la legislación de la Comunidad Autónoma. </w:t>
      </w:r>
      <w:r w:rsidR="00591C50">
        <w:rPr>
          <w:rFonts w:ascii="Century" w:hAnsi="Century" w:cs="Arial"/>
          <w:sz w:val="24"/>
          <w:szCs w:val="24"/>
        </w:rPr>
        <w:t>E</w:t>
      </w:r>
      <w:r w:rsidRPr="002C13F3">
        <w:rPr>
          <w:rFonts w:ascii="Century" w:hAnsi="Century" w:cs="Arial"/>
          <w:sz w:val="24"/>
          <w:szCs w:val="24"/>
        </w:rPr>
        <w:t>l Reino de España discrepa, afirma</w:t>
      </w:r>
      <w:r w:rsidR="00591C50">
        <w:rPr>
          <w:rFonts w:ascii="Century" w:hAnsi="Century" w:cs="Arial"/>
          <w:sz w:val="24"/>
          <w:szCs w:val="24"/>
        </w:rPr>
        <w:t>ndo</w:t>
      </w:r>
      <w:r w:rsidRPr="002C13F3">
        <w:rPr>
          <w:rFonts w:ascii="Century" w:hAnsi="Century" w:cs="Arial"/>
          <w:sz w:val="24"/>
          <w:szCs w:val="24"/>
        </w:rPr>
        <w:t xml:space="preserve"> que no han sido examinadas todas las normativas fiscales autonómicas, ya que hay algunos casos en que el no residente soporta una carga fiscal </w:t>
      </w:r>
      <w:r w:rsidR="001B18E5">
        <w:rPr>
          <w:rFonts w:ascii="Century" w:hAnsi="Century" w:cs="Arial"/>
          <w:sz w:val="24"/>
          <w:szCs w:val="24"/>
        </w:rPr>
        <w:t>inferior a la</w:t>
      </w:r>
      <w:r w:rsidR="00591C50">
        <w:rPr>
          <w:rFonts w:ascii="Century" w:hAnsi="Century" w:cs="Arial"/>
          <w:sz w:val="24"/>
          <w:szCs w:val="24"/>
        </w:rPr>
        <w:t xml:space="preserve"> del residente, refiriendo la necesidad de haber analizado</w:t>
      </w:r>
      <w:r w:rsidR="001B18E5">
        <w:rPr>
          <w:rFonts w:ascii="Century" w:hAnsi="Century" w:cs="Arial"/>
          <w:sz w:val="24"/>
          <w:szCs w:val="24"/>
        </w:rPr>
        <w:t xml:space="preserve"> </w:t>
      </w:r>
      <w:r w:rsidRPr="002C13F3">
        <w:rPr>
          <w:rFonts w:ascii="Century" w:hAnsi="Century" w:cs="Arial"/>
          <w:sz w:val="24"/>
          <w:szCs w:val="24"/>
        </w:rPr>
        <w:t>todas las normativas autonómicas.</w:t>
      </w:r>
      <w:r w:rsidR="00591C50">
        <w:rPr>
          <w:rFonts w:ascii="Century" w:hAnsi="Century" w:cs="Arial"/>
          <w:sz w:val="24"/>
          <w:szCs w:val="24"/>
        </w:rPr>
        <w:t xml:space="preserve"> </w:t>
      </w:r>
      <w:r w:rsidRPr="002C13F3">
        <w:rPr>
          <w:rFonts w:ascii="Century" w:hAnsi="Century" w:cs="Arial"/>
          <w:sz w:val="24"/>
          <w:szCs w:val="24"/>
        </w:rPr>
        <w:t>Otra cuestión que el Reino de España defiende es que no se puede comparar la situación entre residentes y no residentes, ya que los residentes al estar sujetos por obligación personal</w:t>
      </w:r>
      <w:r w:rsidR="002A2BB4" w:rsidRPr="002C13F3">
        <w:rPr>
          <w:rFonts w:ascii="Century" w:hAnsi="Century" w:cs="Arial"/>
          <w:sz w:val="24"/>
          <w:szCs w:val="24"/>
        </w:rPr>
        <w:t>,</w:t>
      </w:r>
      <w:r w:rsidRPr="002C13F3">
        <w:rPr>
          <w:rFonts w:ascii="Century" w:hAnsi="Century" w:cs="Arial"/>
          <w:sz w:val="24"/>
          <w:szCs w:val="24"/>
        </w:rPr>
        <w:t xml:space="preserve"> tributarán por todas las adquisiciones de bienes y derechos con independencia del lugar en el que se hallen o son ejercitables, mientras que los no residentes al estar sujetos por obligación real</w:t>
      </w:r>
      <w:r w:rsidR="002A2BB4" w:rsidRPr="002C13F3">
        <w:rPr>
          <w:rFonts w:ascii="Century" w:hAnsi="Century" w:cs="Arial"/>
          <w:sz w:val="24"/>
          <w:szCs w:val="24"/>
        </w:rPr>
        <w:t>,</w:t>
      </w:r>
      <w:r w:rsidRPr="002C13F3">
        <w:rPr>
          <w:rFonts w:ascii="Century" w:hAnsi="Century" w:cs="Arial"/>
          <w:sz w:val="24"/>
          <w:szCs w:val="24"/>
        </w:rPr>
        <w:t xml:space="preserve"> sólo tributarán por  las adquisiciones de bienes situados en el territorio español y de derechos ejercitables en el mismo territorio.</w:t>
      </w:r>
      <w:r w:rsidR="00591C50">
        <w:rPr>
          <w:rFonts w:ascii="Century" w:hAnsi="Century" w:cs="Arial"/>
          <w:sz w:val="24"/>
          <w:szCs w:val="24"/>
        </w:rPr>
        <w:t xml:space="preserve"> L</w:t>
      </w:r>
      <w:r w:rsidRPr="002C13F3">
        <w:rPr>
          <w:rFonts w:ascii="Century" w:hAnsi="Century" w:cs="Arial"/>
          <w:sz w:val="24"/>
          <w:szCs w:val="24"/>
        </w:rPr>
        <w:t>a Comisión no considera</w:t>
      </w:r>
      <w:r w:rsidR="00591C50">
        <w:rPr>
          <w:rFonts w:ascii="Century" w:hAnsi="Century" w:cs="Arial"/>
          <w:sz w:val="24"/>
          <w:szCs w:val="24"/>
        </w:rPr>
        <w:t>, sin embargo,</w:t>
      </w:r>
      <w:r w:rsidRPr="002C13F3">
        <w:rPr>
          <w:rFonts w:ascii="Century" w:hAnsi="Century" w:cs="Arial"/>
          <w:sz w:val="24"/>
          <w:szCs w:val="24"/>
        </w:rPr>
        <w:t xml:space="preserve"> que esto sea motivo suficiente para que pueda haber una diferencia de trato entre ambas clases de contribuyentes</w:t>
      </w:r>
      <w:r w:rsidRPr="002C13F3">
        <w:rPr>
          <w:rStyle w:val="Refdenotaalpie"/>
          <w:rFonts w:ascii="Century" w:hAnsi="Century" w:cs="Arial"/>
          <w:sz w:val="24"/>
          <w:szCs w:val="24"/>
        </w:rPr>
        <w:footnoteReference w:id="71"/>
      </w:r>
      <w:r w:rsidRPr="002C13F3">
        <w:rPr>
          <w:rFonts w:ascii="Century" w:hAnsi="Century" w:cs="Arial"/>
          <w:sz w:val="24"/>
          <w:szCs w:val="24"/>
        </w:rPr>
        <w:t>.</w:t>
      </w:r>
      <w:r w:rsidR="00591C50">
        <w:rPr>
          <w:rFonts w:ascii="Century" w:hAnsi="Century" w:cs="Arial"/>
          <w:sz w:val="24"/>
          <w:szCs w:val="24"/>
        </w:rPr>
        <w:t xml:space="preserve"> E</w:t>
      </w:r>
      <w:r w:rsidRPr="002C13F3">
        <w:rPr>
          <w:rFonts w:ascii="Century" w:hAnsi="Century" w:cs="Arial"/>
          <w:sz w:val="24"/>
          <w:szCs w:val="24"/>
        </w:rPr>
        <w:t>n definitiva,</w:t>
      </w:r>
      <w:r w:rsidR="00591C50">
        <w:rPr>
          <w:rFonts w:ascii="Century" w:hAnsi="Century" w:cs="Arial"/>
          <w:sz w:val="24"/>
          <w:szCs w:val="24"/>
        </w:rPr>
        <w:t xml:space="preserve"> afirma la autora, que</w:t>
      </w:r>
      <w:r w:rsidRPr="002C13F3">
        <w:rPr>
          <w:rFonts w:ascii="Century" w:hAnsi="Century" w:cs="Arial"/>
          <w:sz w:val="24"/>
          <w:szCs w:val="24"/>
        </w:rPr>
        <w:t xml:space="preserve"> </w:t>
      </w:r>
      <w:r w:rsidR="002A2BB4" w:rsidRPr="002C13F3">
        <w:rPr>
          <w:rFonts w:ascii="Century" w:hAnsi="Century" w:cs="Arial"/>
          <w:sz w:val="24"/>
          <w:szCs w:val="24"/>
        </w:rPr>
        <w:t xml:space="preserve">en </w:t>
      </w:r>
      <w:r w:rsidRPr="002C13F3">
        <w:rPr>
          <w:rFonts w:ascii="Century" w:hAnsi="Century" w:cs="Arial"/>
          <w:sz w:val="24"/>
          <w:szCs w:val="24"/>
        </w:rPr>
        <w:t>esta sentencia no</w:t>
      </w:r>
      <w:r w:rsidR="002A2BB4" w:rsidRPr="002C13F3">
        <w:rPr>
          <w:rFonts w:ascii="Century" w:hAnsi="Century" w:cs="Arial"/>
          <w:sz w:val="24"/>
          <w:szCs w:val="24"/>
        </w:rPr>
        <w:t xml:space="preserve"> se</w:t>
      </w:r>
      <w:r w:rsidRPr="002C13F3">
        <w:rPr>
          <w:rFonts w:ascii="Century" w:hAnsi="Century" w:cs="Arial"/>
          <w:sz w:val="24"/>
          <w:szCs w:val="24"/>
        </w:rPr>
        <w:t xml:space="preserve"> declara</w:t>
      </w:r>
      <w:r w:rsidR="002A2BB4" w:rsidRPr="002C13F3">
        <w:rPr>
          <w:rFonts w:ascii="Century" w:hAnsi="Century" w:cs="Arial"/>
          <w:sz w:val="24"/>
          <w:szCs w:val="24"/>
        </w:rPr>
        <w:t xml:space="preserve"> la </w:t>
      </w:r>
      <w:r w:rsidR="002A2BB4" w:rsidRPr="002C13F3">
        <w:rPr>
          <w:rFonts w:ascii="Century" w:hAnsi="Century" w:cs="Arial"/>
          <w:sz w:val="24"/>
          <w:szCs w:val="24"/>
        </w:rPr>
        <w:lastRenderedPageBreak/>
        <w:t>imposibilidad de</w:t>
      </w:r>
      <w:r w:rsidRPr="002C13F3">
        <w:rPr>
          <w:rFonts w:ascii="Century" w:hAnsi="Century" w:cs="Arial"/>
          <w:sz w:val="24"/>
          <w:szCs w:val="24"/>
        </w:rPr>
        <w:t xml:space="preserve"> la existencia de distintos regímenes dentro de un Estado, sino que no se aplique a los no residentes aquellos regímenes fiscales más favorables</w:t>
      </w:r>
      <w:r w:rsidR="002A2BB4" w:rsidRPr="002C13F3">
        <w:rPr>
          <w:rFonts w:ascii="Century" w:hAnsi="Century" w:cs="Arial"/>
          <w:sz w:val="24"/>
          <w:szCs w:val="24"/>
        </w:rPr>
        <w:t>,</w:t>
      </w:r>
      <w:r w:rsidRPr="002C13F3">
        <w:rPr>
          <w:rFonts w:ascii="Century" w:hAnsi="Century" w:cs="Arial"/>
          <w:sz w:val="24"/>
          <w:szCs w:val="24"/>
        </w:rPr>
        <w:t xml:space="preserve"> que sí se aplican a los residentes de esas CCAA</w:t>
      </w:r>
      <w:r w:rsidRPr="002C13F3">
        <w:rPr>
          <w:rStyle w:val="Refdenotaalpie"/>
          <w:rFonts w:ascii="Century" w:hAnsi="Century" w:cs="Arial"/>
          <w:sz w:val="24"/>
          <w:szCs w:val="24"/>
        </w:rPr>
        <w:footnoteReference w:id="72"/>
      </w:r>
      <w:r w:rsidRPr="002C13F3">
        <w:rPr>
          <w:rFonts w:ascii="Century" w:hAnsi="Century" w:cs="Arial"/>
          <w:sz w:val="24"/>
          <w:szCs w:val="24"/>
        </w:rPr>
        <w:t>.</w:t>
      </w:r>
    </w:p>
    <w:p w:rsidR="00CA1E6C" w:rsidRDefault="00663B9E" w:rsidP="00B95B9B">
      <w:pPr>
        <w:spacing w:after="240" w:line="360" w:lineRule="auto"/>
        <w:ind w:firstLine="708"/>
        <w:jc w:val="both"/>
        <w:rPr>
          <w:rFonts w:ascii="Century" w:hAnsi="Century" w:cs="Arial"/>
          <w:sz w:val="24"/>
          <w:szCs w:val="24"/>
        </w:rPr>
      </w:pPr>
      <w:r>
        <w:rPr>
          <w:rFonts w:ascii="Century" w:hAnsi="Century" w:cs="Arial"/>
          <w:sz w:val="24"/>
          <w:szCs w:val="24"/>
        </w:rPr>
        <w:t>E</w:t>
      </w:r>
      <w:r w:rsidR="002A1F63" w:rsidRPr="002C13F3">
        <w:rPr>
          <w:rFonts w:ascii="Century" w:hAnsi="Century" w:cs="Arial"/>
          <w:sz w:val="24"/>
          <w:szCs w:val="24"/>
        </w:rPr>
        <w:t xml:space="preserve">stablecida la cuestión y analizado el desarrollo y las conclusiones de esta </w:t>
      </w:r>
      <w:r>
        <w:rPr>
          <w:rFonts w:ascii="Century" w:hAnsi="Century" w:cs="Arial"/>
          <w:sz w:val="24"/>
          <w:szCs w:val="24"/>
        </w:rPr>
        <w:t xml:space="preserve">importante y clarificadora </w:t>
      </w:r>
      <w:r w:rsidR="002A1F63" w:rsidRPr="002C13F3">
        <w:rPr>
          <w:rFonts w:ascii="Century" w:hAnsi="Century" w:cs="Arial"/>
          <w:sz w:val="24"/>
          <w:szCs w:val="24"/>
        </w:rPr>
        <w:t xml:space="preserve">sentencia, </w:t>
      </w:r>
      <w:r>
        <w:rPr>
          <w:rFonts w:ascii="Century" w:hAnsi="Century" w:cs="Arial"/>
          <w:sz w:val="24"/>
          <w:szCs w:val="24"/>
        </w:rPr>
        <w:t>debemos</w:t>
      </w:r>
      <w:r w:rsidR="002A1F63" w:rsidRPr="002C13F3">
        <w:rPr>
          <w:rFonts w:ascii="Century" w:hAnsi="Century" w:cs="Arial"/>
          <w:sz w:val="24"/>
          <w:szCs w:val="24"/>
        </w:rPr>
        <w:t xml:space="preserve"> observar los efectos</w:t>
      </w:r>
      <w:r>
        <w:rPr>
          <w:rFonts w:ascii="Century" w:hAnsi="Century" w:cs="Arial"/>
          <w:sz w:val="24"/>
          <w:szCs w:val="24"/>
        </w:rPr>
        <w:t xml:space="preserve"> que</w:t>
      </w:r>
      <w:r w:rsidR="002A1F63" w:rsidRPr="002C13F3">
        <w:rPr>
          <w:rFonts w:ascii="Century" w:hAnsi="Century" w:cs="Arial"/>
          <w:sz w:val="24"/>
          <w:szCs w:val="24"/>
        </w:rPr>
        <w:t xml:space="preserve"> la misma</w:t>
      </w:r>
      <w:r>
        <w:rPr>
          <w:rFonts w:ascii="Century" w:hAnsi="Century" w:cs="Arial"/>
          <w:sz w:val="24"/>
          <w:szCs w:val="24"/>
        </w:rPr>
        <w:t xml:space="preserve"> genera</w:t>
      </w:r>
      <w:r w:rsidR="002A1F63" w:rsidRPr="002C13F3">
        <w:rPr>
          <w:rFonts w:ascii="Century" w:hAnsi="Century" w:cs="Arial"/>
          <w:sz w:val="24"/>
          <w:szCs w:val="24"/>
        </w:rPr>
        <w:t xml:space="preserve">. </w:t>
      </w:r>
      <w:r>
        <w:rPr>
          <w:rFonts w:ascii="Century" w:hAnsi="Century" w:cs="Arial"/>
          <w:sz w:val="24"/>
          <w:szCs w:val="24"/>
        </w:rPr>
        <w:t>E</w:t>
      </w:r>
      <w:r w:rsidR="002A1F63" w:rsidRPr="002C13F3">
        <w:rPr>
          <w:rFonts w:ascii="Century" w:hAnsi="Century" w:cs="Arial"/>
          <w:sz w:val="24"/>
          <w:szCs w:val="24"/>
        </w:rPr>
        <w:t xml:space="preserve">sta sentencia ha dado lugar a que </w:t>
      </w:r>
      <w:r w:rsidR="003126CE" w:rsidRPr="002C13F3">
        <w:rPr>
          <w:rFonts w:ascii="Century" w:hAnsi="Century" w:cs="Arial"/>
          <w:sz w:val="24"/>
          <w:szCs w:val="24"/>
        </w:rPr>
        <w:t xml:space="preserve">el Estado español </w:t>
      </w:r>
      <w:r w:rsidR="00321C82" w:rsidRPr="002C13F3">
        <w:rPr>
          <w:rFonts w:ascii="Century" w:hAnsi="Century" w:cs="Arial"/>
          <w:sz w:val="24"/>
          <w:szCs w:val="24"/>
        </w:rPr>
        <w:t>debe adecuar la</w:t>
      </w:r>
      <w:r w:rsidR="00B07A97">
        <w:rPr>
          <w:rFonts w:ascii="Century" w:hAnsi="Century" w:cs="Arial"/>
          <w:sz w:val="24"/>
          <w:szCs w:val="24"/>
        </w:rPr>
        <w:t xml:space="preserve"> normativa del ISUC</w:t>
      </w:r>
      <w:r w:rsidR="003126CE" w:rsidRPr="002C13F3">
        <w:rPr>
          <w:rFonts w:ascii="Century" w:hAnsi="Century" w:cs="Arial"/>
          <w:sz w:val="24"/>
          <w:szCs w:val="24"/>
        </w:rPr>
        <w:t xml:space="preserve"> </w:t>
      </w:r>
      <w:r w:rsidR="00321C82" w:rsidRPr="002C13F3">
        <w:rPr>
          <w:rFonts w:ascii="Century" w:hAnsi="Century" w:cs="Arial"/>
          <w:sz w:val="24"/>
          <w:szCs w:val="24"/>
        </w:rPr>
        <w:t xml:space="preserve">a las exigencias derivadas de </w:t>
      </w:r>
      <w:r w:rsidR="002A1F63" w:rsidRPr="002C13F3">
        <w:rPr>
          <w:rFonts w:ascii="Century" w:hAnsi="Century" w:cs="Arial"/>
          <w:sz w:val="24"/>
          <w:szCs w:val="24"/>
        </w:rPr>
        <w:t>aquélla</w:t>
      </w:r>
      <w:r w:rsidR="003126CE" w:rsidRPr="002C13F3">
        <w:rPr>
          <w:rFonts w:ascii="Century" w:hAnsi="Century" w:cs="Arial"/>
          <w:sz w:val="24"/>
          <w:szCs w:val="24"/>
        </w:rPr>
        <w:t>.</w:t>
      </w:r>
      <w:r w:rsidR="00321C82" w:rsidRPr="002C13F3">
        <w:rPr>
          <w:rFonts w:ascii="Century" w:hAnsi="Century" w:cs="Arial"/>
          <w:sz w:val="24"/>
          <w:szCs w:val="24"/>
        </w:rPr>
        <w:t xml:space="preserve"> E</w:t>
      </w:r>
      <w:r w:rsidR="003126CE" w:rsidRPr="002C13F3">
        <w:rPr>
          <w:rFonts w:ascii="Century" w:hAnsi="Century" w:cs="Arial"/>
          <w:sz w:val="24"/>
          <w:szCs w:val="24"/>
        </w:rPr>
        <w:t>l Gobierno español</w:t>
      </w:r>
      <w:r>
        <w:rPr>
          <w:rFonts w:ascii="Century" w:hAnsi="Century" w:cs="Arial"/>
          <w:sz w:val="24"/>
          <w:szCs w:val="24"/>
        </w:rPr>
        <w:t xml:space="preserve"> se ha visto así obligado a modificar</w:t>
      </w:r>
      <w:r w:rsidR="003126CE" w:rsidRPr="002C13F3">
        <w:rPr>
          <w:rFonts w:ascii="Century" w:hAnsi="Century" w:cs="Arial"/>
          <w:sz w:val="24"/>
          <w:szCs w:val="24"/>
        </w:rPr>
        <w:t xml:space="preserve"> aquellos</w:t>
      </w:r>
      <w:r w:rsidR="00321C82" w:rsidRPr="002C13F3">
        <w:rPr>
          <w:rFonts w:ascii="Century" w:hAnsi="Century" w:cs="Arial"/>
          <w:sz w:val="24"/>
          <w:szCs w:val="24"/>
        </w:rPr>
        <w:t xml:space="preserve"> aspectos </w:t>
      </w:r>
      <w:r w:rsidR="003126CE" w:rsidRPr="002C13F3">
        <w:rPr>
          <w:rFonts w:ascii="Century" w:hAnsi="Century" w:cs="Arial"/>
          <w:sz w:val="24"/>
          <w:szCs w:val="24"/>
        </w:rPr>
        <w:t>de su legislación estatal</w:t>
      </w:r>
      <w:r w:rsidR="00321C82" w:rsidRPr="002C13F3">
        <w:rPr>
          <w:rFonts w:ascii="Century" w:hAnsi="Century" w:cs="Arial"/>
          <w:sz w:val="24"/>
          <w:szCs w:val="24"/>
        </w:rPr>
        <w:t xml:space="preserve"> </w:t>
      </w:r>
      <w:r w:rsidR="003126CE" w:rsidRPr="002C13F3">
        <w:rPr>
          <w:rFonts w:ascii="Century" w:hAnsi="Century" w:cs="Arial"/>
          <w:sz w:val="24"/>
          <w:szCs w:val="24"/>
        </w:rPr>
        <w:t>incompatibles con la normativa comunitaria, equipara</w:t>
      </w:r>
      <w:r>
        <w:rPr>
          <w:rFonts w:ascii="Century" w:hAnsi="Century" w:cs="Arial"/>
          <w:sz w:val="24"/>
          <w:szCs w:val="24"/>
        </w:rPr>
        <w:t>ndo</w:t>
      </w:r>
      <w:r w:rsidR="003126CE" w:rsidRPr="002C13F3">
        <w:rPr>
          <w:rFonts w:ascii="Century" w:hAnsi="Century" w:cs="Arial"/>
          <w:sz w:val="24"/>
          <w:szCs w:val="24"/>
        </w:rPr>
        <w:t xml:space="preserve"> las situaciones entre los no residentes y los residentes autonómicos</w:t>
      </w:r>
      <w:r w:rsidR="003126CE" w:rsidRPr="002C13F3">
        <w:rPr>
          <w:rStyle w:val="Refdenotaalpie"/>
          <w:rFonts w:ascii="Century" w:hAnsi="Century" w:cs="Arial"/>
          <w:sz w:val="24"/>
          <w:szCs w:val="24"/>
        </w:rPr>
        <w:footnoteReference w:id="73"/>
      </w:r>
      <w:r w:rsidR="003126CE" w:rsidRPr="002C13F3">
        <w:rPr>
          <w:rFonts w:ascii="Century" w:hAnsi="Century" w:cs="Arial"/>
          <w:sz w:val="24"/>
          <w:szCs w:val="24"/>
        </w:rPr>
        <w:t xml:space="preserve">. </w:t>
      </w:r>
    </w:p>
    <w:p w:rsidR="006109F4" w:rsidRDefault="00CA1E6C" w:rsidP="00B95B9B">
      <w:pPr>
        <w:spacing w:after="240" w:line="360" w:lineRule="auto"/>
        <w:ind w:firstLine="708"/>
        <w:jc w:val="both"/>
        <w:rPr>
          <w:rFonts w:ascii="Century" w:hAnsi="Century" w:cstheme="majorBidi"/>
          <w:sz w:val="24"/>
          <w:szCs w:val="24"/>
        </w:rPr>
      </w:pPr>
      <w:r w:rsidRPr="00CA1E6C">
        <w:rPr>
          <w:rFonts w:ascii="Century" w:hAnsi="Century" w:cs="Arial"/>
          <w:sz w:val="24"/>
          <w:szCs w:val="24"/>
        </w:rPr>
        <w:t>Ahora bien, una cosa es la exigencia teórica, y otra, el resultado práctico. La</w:t>
      </w:r>
      <w:r w:rsidR="00321C82" w:rsidRPr="00CA1E6C">
        <w:rPr>
          <w:rFonts w:ascii="Century" w:hAnsi="Century" w:cs="Arial"/>
          <w:sz w:val="24"/>
          <w:szCs w:val="24"/>
        </w:rPr>
        <w:t xml:space="preserve"> obligada modificación se ha efectuado</w:t>
      </w:r>
      <w:r w:rsidRPr="00CA1E6C">
        <w:rPr>
          <w:rFonts w:ascii="Century" w:hAnsi="Century" w:cs="Arial"/>
          <w:sz w:val="24"/>
          <w:szCs w:val="24"/>
        </w:rPr>
        <w:t xml:space="preserve"> de una manera confusa, mediante </w:t>
      </w:r>
      <w:r w:rsidR="00321C82" w:rsidRPr="00CA1E6C">
        <w:rPr>
          <w:rFonts w:ascii="Century" w:hAnsi="Century" w:cs="Arial"/>
          <w:sz w:val="24"/>
          <w:szCs w:val="24"/>
        </w:rPr>
        <w:t>la</w:t>
      </w:r>
      <w:r w:rsidR="008A32D3">
        <w:rPr>
          <w:rFonts w:ascii="Century" w:hAnsi="Century" w:cs="Arial"/>
          <w:sz w:val="24"/>
          <w:szCs w:val="24"/>
        </w:rPr>
        <w:t xml:space="preserve"> Disposición Final Tercera</w:t>
      </w:r>
      <w:r w:rsidR="003C7243">
        <w:rPr>
          <w:rFonts w:ascii="Century" w:hAnsi="Century" w:cs="Arial"/>
          <w:sz w:val="24"/>
          <w:szCs w:val="24"/>
        </w:rPr>
        <w:t xml:space="preserve"> de</w:t>
      </w:r>
      <w:r w:rsidR="003126CE" w:rsidRPr="00CA1E6C">
        <w:rPr>
          <w:rFonts w:ascii="Century" w:hAnsi="Century" w:cs="Arial"/>
          <w:sz w:val="24"/>
          <w:szCs w:val="24"/>
        </w:rPr>
        <w:t xml:space="preserve"> la </w:t>
      </w:r>
      <w:r w:rsidRPr="00CA1E6C">
        <w:rPr>
          <w:rFonts w:ascii="Century" w:hAnsi="Century"/>
          <w:sz w:val="24"/>
          <w:szCs w:val="24"/>
        </w:rPr>
        <w:t xml:space="preserve">Ley 26/2014, de 27 de noviembre, por la que se modifican la Ley 35/2006, de 28 de noviembre, del Impuesto sobre la Renta de las Personas Físicas, el texto refundido de la Ley del Impuesto sobre la Renta de no Residentes, aprobado por el Real Decreto Legislativo 5/2004, de 5 de marzo, y otras normas tributarias, </w:t>
      </w:r>
      <w:r w:rsidR="006109F4">
        <w:rPr>
          <w:rFonts w:ascii="Century" w:hAnsi="Century"/>
          <w:sz w:val="24"/>
          <w:szCs w:val="24"/>
        </w:rPr>
        <w:t>que ha introducido</w:t>
      </w:r>
      <w:r w:rsidR="003C7243">
        <w:rPr>
          <w:rFonts w:ascii="Century" w:hAnsi="Century" w:cs="Arial"/>
          <w:sz w:val="24"/>
          <w:szCs w:val="24"/>
        </w:rPr>
        <w:t xml:space="preserve"> una Disposición A</w:t>
      </w:r>
      <w:r w:rsidR="003126CE" w:rsidRPr="00CA1E6C">
        <w:rPr>
          <w:rFonts w:ascii="Century" w:hAnsi="Century" w:cs="Arial"/>
          <w:sz w:val="24"/>
          <w:szCs w:val="24"/>
        </w:rPr>
        <w:t>dicional</w:t>
      </w:r>
      <w:r w:rsidR="003C7243">
        <w:rPr>
          <w:rFonts w:ascii="Century" w:hAnsi="Century" w:cs="Arial"/>
          <w:sz w:val="24"/>
          <w:szCs w:val="24"/>
        </w:rPr>
        <w:t xml:space="preserve"> S</w:t>
      </w:r>
      <w:r w:rsidR="00BC53AD" w:rsidRPr="00CA1E6C">
        <w:rPr>
          <w:rFonts w:ascii="Century" w:hAnsi="Century" w:cs="Arial"/>
          <w:sz w:val="24"/>
          <w:szCs w:val="24"/>
        </w:rPr>
        <w:t xml:space="preserve">egunda a la LISD, </w:t>
      </w:r>
      <w:r w:rsidR="006109F4">
        <w:rPr>
          <w:rFonts w:ascii="Century" w:hAnsi="Century" w:cs="Arial"/>
          <w:sz w:val="24"/>
          <w:szCs w:val="24"/>
        </w:rPr>
        <w:t>mediante</w:t>
      </w:r>
      <w:r w:rsidR="00BC53AD" w:rsidRPr="00CA1E6C">
        <w:rPr>
          <w:rFonts w:ascii="Century" w:hAnsi="Century" w:cs="Arial"/>
          <w:sz w:val="24"/>
          <w:szCs w:val="24"/>
        </w:rPr>
        <w:t xml:space="preserve"> la</w:t>
      </w:r>
      <w:r w:rsidR="003126CE" w:rsidRPr="00CA1E6C">
        <w:rPr>
          <w:rFonts w:ascii="Century" w:hAnsi="Century" w:cs="Arial"/>
          <w:sz w:val="24"/>
          <w:szCs w:val="24"/>
        </w:rPr>
        <w:t xml:space="preserve"> cual</w:t>
      </w:r>
      <w:r w:rsidR="00BC53AD" w:rsidRPr="00CA1E6C">
        <w:rPr>
          <w:rFonts w:ascii="Century" w:hAnsi="Century" w:cs="Arial"/>
          <w:sz w:val="24"/>
          <w:szCs w:val="24"/>
        </w:rPr>
        <w:t xml:space="preserve"> se indica que</w:t>
      </w:r>
      <w:r w:rsidR="003126CE" w:rsidRPr="00CA1E6C">
        <w:rPr>
          <w:rFonts w:ascii="Century" w:hAnsi="Century" w:cs="Arial"/>
          <w:sz w:val="24"/>
          <w:szCs w:val="24"/>
        </w:rPr>
        <w:t xml:space="preserve"> los no residentes podrán disfrutar del mismo régimen fiscal que los residentes en una Comunidad Autónoma.</w:t>
      </w:r>
      <w:r w:rsidR="00BC53AD" w:rsidRPr="00CA1E6C">
        <w:rPr>
          <w:rFonts w:ascii="Century" w:hAnsi="Century" w:cs="Arial"/>
          <w:sz w:val="24"/>
          <w:szCs w:val="24"/>
        </w:rPr>
        <w:t xml:space="preserve"> Ahora bien,</w:t>
      </w:r>
      <w:r w:rsidR="003126CE" w:rsidRPr="00CA1E6C">
        <w:rPr>
          <w:rFonts w:ascii="Century" w:hAnsi="Century" w:cs="Arial"/>
          <w:sz w:val="24"/>
          <w:szCs w:val="24"/>
        </w:rPr>
        <w:t xml:space="preserve"> la</w:t>
      </w:r>
      <w:r w:rsidR="00BC53AD" w:rsidRPr="00CA1E6C">
        <w:rPr>
          <w:rFonts w:ascii="Century" w:hAnsi="Century" w:cs="Arial"/>
          <w:sz w:val="24"/>
          <w:szCs w:val="24"/>
        </w:rPr>
        <w:t xml:space="preserve"> referida distribución </w:t>
      </w:r>
      <w:r w:rsidR="003126CE" w:rsidRPr="00CA1E6C">
        <w:rPr>
          <w:rFonts w:ascii="Century" w:hAnsi="Century" w:cs="Arial"/>
          <w:sz w:val="24"/>
          <w:szCs w:val="24"/>
        </w:rPr>
        <w:t>establece dos puntos de conexión a través de los cuales un no r</w:t>
      </w:r>
      <w:r w:rsidR="00BC53AD" w:rsidRPr="00CA1E6C">
        <w:rPr>
          <w:rFonts w:ascii="Century" w:hAnsi="Century" w:cs="Arial"/>
          <w:sz w:val="24"/>
          <w:szCs w:val="24"/>
        </w:rPr>
        <w:t>esidente se le puede aplicar esta</w:t>
      </w:r>
      <w:r w:rsidR="003126CE" w:rsidRPr="00CA1E6C">
        <w:rPr>
          <w:rFonts w:ascii="Century" w:hAnsi="Century" w:cs="Arial"/>
          <w:sz w:val="24"/>
          <w:szCs w:val="24"/>
        </w:rPr>
        <w:t xml:space="preserve"> legislación autonómica</w:t>
      </w:r>
      <w:r w:rsidR="003126CE" w:rsidRPr="00CA1E6C">
        <w:rPr>
          <w:rStyle w:val="Refdenotaalpie"/>
          <w:rFonts w:ascii="Century" w:hAnsi="Century" w:cs="Arial"/>
          <w:sz w:val="24"/>
          <w:szCs w:val="24"/>
        </w:rPr>
        <w:footnoteReference w:id="74"/>
      </w:r>
      <w:r w:rsidR="003126CE" w:rsidRPr="00CA1E6C">
        <w:rPr>
          <w:rFonts w:ascii="Century" w:hAnsi="Century" w:cs="Arial"/>
          <w:sz w:val="24"/>
          <w:szCs w:val="24"/>
        </w:rPr>
        <w:t>.</w:t>
      </w:r>
    </w:p>
    <w:p w:rsidR="00EA1FEA" w:rsidRPr="006109F4" w:rsidRDefault="00015F8E" w:rsidP="002D11BC">
      <w:pPr>
        <w:spacing w:after="240" w:line="360" w:lineRule="auto"/>
        <w:jc w:val="both"/>
        <w:rPr>
          <w:rFonts w:ascii="Century" w:hAnsi="Century" w:cstheme="majorBidi"/>
          <w:sz w:val="24"/>
          <w:szCs w:val="24"/>
        </w:rPr>
      </w:pPr>
      <w:r>
        <w:rPr>
          <w:rFonts w:ascii="Century" w:hAnsi="Century" w:cs="Arial"/>
          <w:sz w:val="24"/>
          <w:szCs w:val="24"/>
        </w:rPr>
        <w:lastRenderedPageBreak/>
        <w:tab/>
      </w:r>
      <w:r w:rsidR="00EE58C5" w:rsidRPr="002C13F3">
        <w:rPr>
          <w:rFonts w:ascii="Century" w:hAnsi="Century" w:cs="Arial"/>
          <w:sz w:val="24"/>
          <w:szCs w:val="24"/>
        </w:rPr>
        <w:t>L</w:t>
      </w:r>
      <w:r w:rsidR="003126CE" w:rsidRPr="002C13F3">
        <w:rPr>
          <w:rFonts w:ascii="Century" w:hAnsi="Century" w:cs="Arial"/>
          <w:sz w:val="24"/>
          <w:szCs w:val="24"/>
        </w:rPr>
        <w:t xml:space="preserve">os nuevos puntos de conexión incluidos </w:t>
      </w:r>
      <w:r w:rsidR="00B95B9B">
        <w:rPr>
          <w:rFonts w:ascii="Century" w:hAnsi="Century" w:cs="Arial"/>
          <w:sz w:val="24"/>
          <w:szCs w:val="24"/>
        </w:rPr>
        <w:t xml:space="preserve">en la </w:t>
      </w:r>
      <w:r>
        <w:rPr>
          <w:rFonts w:ascii="Century" w:hAnsi="Century" w:cs="Arial"/>
          <w:sz w:val="24"/>
          <w:szCs w:val="24"/>
        </w:rPr>
        <w:t xml:space="preserve">citada </w:t>
      </w:r>
      <w:r w:rsidR="00B95B9B">
        <w:rPr>
          <w:rFonts w:ascii="Century" w:hAnsi="Century" w:cs="Arial"/>
          <w:sz w:val="24"/>
          <w:szCs w:val="24"/>
        </w:rPr>
        <w:t>D</w:t>
      </w:r>
      <w:r w:rsidR="00B95B9B" w:rsidRPr="00015F8E">
        <w:rPr>
          <w:rFonts w:ascii="Century" w:hAnsi="Century" w:cs="Arial"/>
          <w:sz w:val="24"/>
          <w:szCs w:val="24"/>
        </w:rPr>
        <w:t>isposición</w:t>
      </w:r>
      <w:r w:rsidR="00B95B9B">
        <w:rPr>
          <w:rFonts w:ascii="Century" w:hAnsi="Century" w:cs="Arial"/>
          <w:sz w:val="24"/>
          <w:szCs w:val="24"/>
        </w:rPr>
        <w:t xml:space="preserve"> </w:t>
      </w:r>
      <w:r w:rsidR="008A32D3">
        <w:rPr>
          <w:rFonts w:ascii="Century" w:hAnsi="Century" w:cs="Arial"/>
          <w:sz w:val="24"/>
          <w:szCs w:val="24"/>
        </w:rPr>
        <w:t>Final Tercera</w:t>
      </w:r>
      <w:r>
        <w:rPr>
          <w:rFonts w:ascii="Century" w:hAnsi="Century" w:cs="Arial"/>
          <w:sz w:val="24"/>
          <w:szCs w:val="24"/>
        </w:rPr>
        <w:t xml:space="preserve"> </w:t>
      </w:r>
      <w:r w:rsidR="003126CE" w:rsidRPr="002C13F3">
        <w:rPr>
          <w:rFonts w:ascii="Century" w:hAnsi="Century" w:cs="Arial"/>
          <w:sz w:val="24"/>
          <w:szCs w:val="24"/>
        </w:rPr>
        <w:t>son los siguientes</w:t>
      </w:r>
      <w:r w:rsidR="003126CE" w:rsidRPr="00514069">
        <w:rPr>
          <w:rFonts w:cstheme="minorHAnsi"/>
          <w:sz w:val="24"/>
          <w:szCs w:val="24"/>
        </w:rPr>
        <w:t>:</w:t>
      </w:r>
    </w:p>
    <w:p w:rsidR="00EE58C5" w:rsidRPr="00A579DF" w:rsidRDefault="00EA1FEA" w:rsidP="008A32D3">
      <w:pPr>
        <w:spacing w:before="240" w:after="0" w:line="360" w:lineRule="auto"/>
        <w:ind w:left="709"/>
        <w:jc w:val="both"/>
        <w:rPr>
          <w:rFonts w:ascii="Century" w:hAnsi="Century" w:cs="Arial"/>
          <w:sz w:val="24"/>
          <w:szCs w:val="24"/>
        </w:rPr>
      </w:pPr>
      <w:r w:rsidRPr="002C13F3">
        <w:rPr>
          <w:rFonts w:ascii="Century" w:hAnsi="Century" w:cs="Arial"/>
          <w:sz w:val="24"/>
          <w:szCs w:val="24"/>
        </w:rPr>
        <w:t>a) Causantes residentes en la UE</w:t>
      </w:r>
      <w:r w:rsidR="006109F4">
        <w:rPr>
          <w:rFonts w:ascii="Century" w:hAnsi="Century" w:cs="Arial"/>
          <w:sz w:val="24"/>
          <w:szCs w:val="24"/>
        </w:rPr>
        <w:t xml:space="preserve"> que</w:t>
      </w:r>
      <w:r w:rsidRPr="002C13F3">
        <w:rPr>
          <w:rFonts w:ascii="Century" w:hAnsi="Century" w:cs="Arial"/>
          <w:sz w:val="24"/>
          <w:szCs w:val="24"/>
        </w:rPr>
        <w:t xml:space="preserve"> se podrá</w:t>
      </w:r>
      <w:r w:rsidR="008A32D3">
        <w:rPr>
          <w:rFonts w:ascii="Century" w:hAnsi="Century" w:cs="Arial"/>
          <w:sz w:val="24"/>
          <w:szCs w:val="24"/>
        </w:rPr>
        <w:t>n</w:t>
      </w:r>
      <w:r w:rsidRPr="002C13F3">
        <w:rPr>
          <w:rFonts w:ascii="Century" w:hAnsi="Century" w:cs="Arial"/>
          <w:sz w:val="24"/>
          <w:szCs w:val="24"/>
        </w:rPr>
        <w:t xml:space="preserve"> aplicar normativas de </w:t>
      </w:r>
      <w:r w:rsidRPr="00A579DF">
        <w:rPr>
          <w:rFonts w:ascii="Century" w:hAnsi="Century" w:cs="Arial"/>
          <w:sz w:val="24"/>
          <w:szCs w:val="24"/>
        </w:rPr>
        <w:t>las CCAA</w:t>
      </w:r>
      <w:r w:rsidRPr="00A579DF">
        <w:rPr>
          <w:rFonts w:cstheme="minorHAnsi"/>
          <w:sz w:val="24"/>
          <w:szCs w:val="24"/>
        </w:rPr>
        <w:t>:</w:t>
      </w:r>
    </w:p>
    <w:p w:rsidR="003126CE" w:rsidRPr="00A579DF" w:rsidRDefault="008A32D3" w:rsidP="008A32D3">
      <w:pPr>
        <w:pStyle w:val="parrafo2"/>
        <w:spacing w:before="240" w:beforeAutospacing="0" w:after="240" w:afterAutospacing="0" w:line="360" w:lineRule="auto"/>
        <w:ind w:left="709"/>
        <w:jc w:val="both"/>
        <w:rPr>
          <w:rFonts w:ascii="Century" w:hAnsi="Century"/>
        </w:rPr>
      </w:pPr>
      <w:r>
        <w:rPr>
          <w:rFonts w:ascii="Century" w:hAnsi="Century"/>
        </w:rPr>
        <w:tab/>
      </w:r>
      <w:r w:rsidR="003126CE" w:rsidRPr="00A579DF">
        <w:rPr>
          <w:rFonts w:ascii="Century" w:hAnsi="Century"/>
        </w:rPr>
        <w:t>“En el caso de la adquisición de bienes y derechos por herencia, legado o cualquier otro título sucesorio, si el causante hubiera sido residente en un Estado miembro de la Unión Europea o del Espacio Económico Europeo, distinto de España, los contribuyentes tendrán derecho a la aplicación de la normativa propia aprobada por la Comunidad Autónoma en donde se encuentre el mayor valor de los bienes y derechos del caudal relicto situados en España. Si no hubiera ningún bien o derecho situado en España, se aplicará a cada sujeto pasivo la normativa de la Comunidad Autónoma en que resida</w:t>
      </w:r>
      <w:r w:rsidR="00EA1FEA" w:rsidRPr="00A579DF">
        <w:rPr>
          <w:rFonts w:ascii="Century" w:hAnsi="Century"/>
        </w:rPr>
        <w:t>”</w:t>
      </w:r>
      <w:r w:rsidR="003126CE" w:rsidRPr="00A579DF">
        <w:rPr>
          <w:rFonts w:ascii="Century" w:hAnsi="Century"/>
        </w:rPr>
        <w:t>.</w:t>
      </w:r>
    </w:p>
    <w:p w:rsidR="00EA1FEA" w:rsidRPr="00A579DF" w:rsidRDefault="00EA1FEA" w:rsidP="008A32D3">
      <w:pPr>
        <w:pStyle w:val="parrafo"/>
        <w:spacing w:before="0" w:beforeAutospacing="0" w:after="0" w:afterAutospacing="0" w:line="360" w:lineRule="auto"/>
        <w:ind w:left="709"/>
        <w:jc w:val="both"/>
        <w:rPr>
          <w:rFonts w:ascii="Century" w:hAnsi="Century"/>
        </w:rPr>
      </w:pPr>
      <w:r w:rsidRPr="00A579DF">
        <w:rPr>
          <w:rFonts w:ascii="Century" w:hAnsi="Century"/>
        </w:rPr>
        <w:t xml:space="preserve">b) Herederos o legatarios residentes de la UE </w:t>
      </w:r>
      <w:r w:rsidR="006109F4" w:rsidRPr="00A579DF">
        <w:rPr>
          <w:rFonts w:ascii="Century" w:hAnsi="Century"/>
        </w:rPr>
        <w:t xml:space="preserve">que </w:t>
      </w:r>
      <w:r w:rsidRPr="00A579DF">
        <w:rPr>
          <w:rFonts w:ascii="Century" w:hAnsi="Century"/>
        </w:rPr>
        <w:t>podrán aplic</w:t>
      </w:r>
      <w:r w:rsidR="008A32D3">
        <w:rPr>
          <w:rFonts w:ascii="Century" w:hAnsi="Century"/>
        </w:rPr>
        <w:t>arse las normativas de las CCAA</w:t>
      </w:r>
      <w:r w:rsidR="008A32D3" w:rsidRPr="008A32D3">
        <w:rPr>
          <w:rFonts w:asciiTheme="minorHAnsi" w:hAnsiTheme="minorHAnsi" w:cstheme="minorHAnsi"/>
        </w:rPr>
        <w:t>:</w:t>
      </w:r>
    </w:p>
    <w:p w:rsidR="003126CE" w:rsidRDefault="008A32D3" w:rsidP="008A32D3">
      <w:pPr>
        <w:pStyle w:val="parrafo"/>
        <w:spacing w:before="240" w:beforeAutospacing="0" w:after="240" w:afterAutospacing="0" w:line="360" w:lineRule="auto"/>
        <w:ind w:left="709"/>
        <w:jc w:val="both"/>
        <w:rPr>
          <w:rFonts w:ascii="Century" w:hAnsi="Century"/>
        </w:rPr>
      </w:pPr>
      <w:r>
        <w:rPr>
          <w:rFonts w:ascii="Century" w:hAnsi="Century"/>
        </w:rPr>
        <w:tab/>
      </w:r>
      <w:r w:rsidR="00EA1FEA" w:rsidRPr="00A579DF">
        <w:rPr>
          <w:rFonts w:ascii="Century" w:hAnsi="Century"/>
        </w:rPr>
        <w:t>“</w:t>
      </w:r>
      <w:r w:rsidR="003126CE" w:rsidRPr="00A579DF">
        <w:rPr>
          <w:rFonts w:ascii="Century" w:hAnsi="Century"/>
        </w:rPr>
        <w:t>En el caso de la adquisición de bienes y derechos por herencia, legado o cualquier otro título sucesorio, si el causante hubiera sido residente en una Comunidad Autónoma, los contribuyentes no residentes, que sean residentes en un Estado miembro de la Unión Europea o del Espacio Económico Europeo, tendrán derecho a la aplicación de la normativa propia aprobada por dicha Comunidad Autónoma”.</w:t>
      </w:r>
    </w:p>
    <w:p w:rsidR="003126CE" w:rsidRPr="002C13F3" w:rsidRDefault="003126CE" w:rsidP="00B95B9B">
      <w:pPr>
        <w:spacing w:after="240" w:line="360" w:lineRule="auto"/>
        <w:ind w:firstLine="708"/>
        <w:jc w:val="both"/>
        <w:rPr>
          <w:rFonts w:ascii="Century" w:hAnsi="Century" w:cs="Arial"/>
          <w:sz w:val="24"/>
          <w:szCs w:val="24"/>
        </w:rPr>
      </w:pPr>
      <w:r w:rsidRPr="002C13F3">
        <w:rPr>
          <w:rFonts w:ascii="Century" w:hAnsi="Century" w:cs="Arial"/>
          <w:sz w:val="24"/>
          <w:szCs w:val="24"/>
        </w:rPr>
        <w:t>Anal</w:t>
      </w:r>
      <w:r w:rsidR="00EE58C5" w:rsidRPr="002C13F3">
        <w:rPr>
          <w:rFonts w:ascii="Century" w:hAnsi="Century" w:cs="Arial"/>
          <w:sz w:val="24"/>
          <w:szCs w:val="24"/>
        </w:rPr>
        <w:t>izando estos</w:t>
      </w:r>
      <w:r w:rsidR="006109F4">
        <w:rPr>
          <w:rFonts w:ascii="Century" w:hAnsi="Century" w:cs="Arial"/>
          <w:sz w:val="24"/>
          <w:szCs w:val="24"/>
        </w:rPr>
        <w:t xml:space="preserve"> nuevos</w:t>
      </w:r>
      <w:r w:rsidR="00EE58C5" w:rsidRPr="002C13F3">
        <w:rPr>
          <w:rFonts w:ascii="Century" w:hAnsi="Century" w:cs="Arial"/>
          <w:sz w:val="24"/>
          <w:szCs w:val="24"/>
        </w:rPr>
        <w:t xml:space="preserve"> puntos de conexión</w:t>
      </w:r>
      <w:r w:rsidR="008A32D3">
        <w:rPr>
          <w:rFonts w:ascii="Century" w:hAnsi="Century" w:cs="Arial"/>
          <w:sz w:val="24"/>
          <w:szCs w:val="24"/>
        </w:rPr>
        <w:t xml:space="preserve"> surgen otros </w:t>
      </w:r>
      <w:r w:rsidRPr="002C13F3">
        <w:rPr>
          <w:rFonts w:ascii="Century" w:hAnsi="Century" w:cs="Arial"/>
          <w:sz w:val="24"/>
          <w:szCs w:val="24"/>
        </w:rPr>
        <w:t>problemas</w:t>
      </w:r>
      <w:r w:rsidR="00EE58C5" w:rsidRPr="002C13F3">
        <w:rPr>
          <w:rFonts w:ascii="Century" w:hAnsi="Century" w:cs="Arial"/>
          <w:sz w:val="24"/>
          <w:szCs w:val="24"/>
        </w:rPr>
        <w:t>. Y</w:t>
      </w:r>
      <w:r w:rsidRPr="002C13F3">
        <w:rPr>
          <w:rFonts w:ascii="Century" w:hAnsi="Century" w:cs="Arial"/>
          <w:sz w:val="24"/>
          <w:szCs w:val="24"/>
        </w:rPr>
        <w:t xml:space="preserve"> es que hay que tener presente que esta norma puede utilizarse para situar sin </w:t>
      </w:r>
      <w:r w:rsidR="00EA1FEA" w:rsidRPr="002C13F3">
        <w:rPr>
          <w:rFonts w:ascii="Century" w:hAnsi="Century" w:cs="Arial"/>
          <w:sz w:val="24"/>
          <w:szCs w:val="24"/>
        </w:rPr>
        <w:t>ninguna dificultad</w:t>
      </w:r>
      <w:r w:rsidRPr="002C13F3">
        <w:rPr>
          <w:rFonts w:ascii="Century" w:hAnsi="Century" w:cs="Arial"/>
          <w:sz w:val="24"/>
          <w:szCs w:val="24"/>
        </w:rPr>
        <w:t xml:space="preserve"> determinados bienes muebles, cuentas corrientes y otros derechos de crédito en varias CCAA, lo que puede producir dificultades derivadas de expandir varios bienes en diferentes</w:t>
      </w:r>
      <w:r w:rsidR="008A32D3">
        <w:rPr>
          <w:rFonts w:ascii="Century" w:hAnsi="Century" w:cs="Arial"/>
          <w:sz w:val="24"/>
          <w:szCs w:val="24"/>
        </w:rPr>
        <w:t xml:space="preserve"> Comunidades</w:t>
      </w:r>
      <w:r w:rsidRPr="002C13F3">
        <w:rPr>
          <w:rFonts w:ascii="Century" w:hAnsi="Century" w:cs="Arial"/>
          <w:sz w:val="24"/>
          <w:szCs w:val="24"/>
        </w:rPr>
        <w:t>.</w:t>
      </w:r>
      <w:r w:rsidR="006109F4">
        <w:rPr>
          <w:rFonts w:ascii="Century" w:hAnsi="Century" w:cs="Arial"/>
          <w:sz w:val="24"/>
          <w:szCs w:val="24"/>
        </w:rPr>
        <w:t xml:space="preserve"> Así, estos </w:t>
      </w:r>
      <w:r w:rsidRPr="002C13F3">
        <w:rPr>
          <w:rFonts w:ascii="Century" w:hAnsi="Century" w:cs="Arial"/>
          <w:sz w:val="24"/>
          <w:szCs w:val="24"/>
        </w:rPr>
        <w:t>nuevos puntos de conexión</w:t>
      </w:r>
      <w:r w:rsidR="008A32D3">
        <w:rPr>
          <w:rFonts w:ascii="Century" w:hAnsi="Century" w:cs="Arial"/>
          <w:sz w:val="24"/>
          <w:szCs w:val="24"/>
        </w:rPr>
        <w:t>, en vez de conllevar a soluciones,</w:t>
      </w:r>
      <w:r w:rsidRPr="002C13F3">
        <w:rPr>
          <w:rFonts w:ascii="Century" w:hAnsi="Century" w:cs="Arial"/>
          <w:sz w:val="24"/>
          <w:szCs w:val="24"/>
        </w:rPr>
        <w:t xml:space="preserve"> pueden</w:t>
      </w:r>
      <w:r w:rsidR="00C519E1" w:rsidRPr="002C13F3">
        <w:rPr>
          <w:rFonts w:ascii="Century" w:hAnsi="Century" w:cs="Arial"/>
          <w:sz w:val="24"/>
          <w:szCs w:val="24"/>
        </w:rPr>
        <w:t xml:space="preserve"> </w:t>
      </w:r>
      <w:r w:rsidR="008A32D3">
        <w:rPr>
          <w:rFonts w:ascii="Century" w:hAnsi="Century" w:cs="Arial"/>
          <w:sz w:val="24"/>
          <w:szCs w:val="24"/>
        </w:rPr>
        <w:t>producir</w:t>
      </w:r>
      <w:r w:rsidR="006109F4">
        <w:rPr>
          <w:rFonts w:ascii="Century" w:hAnsi="Century" w:cs="Arial"/>
          <w:sz w:val="24"/>
          <w:szCs w:val="24"/>
        </w:rPr>
        <w:t xml:space="preserve"> nuevas</w:t>
      </w:r>
      <w:r w:rsidR="00C519E1" w:rsidRPr="002C13F3">
        <w:rPr>
          <w:rFonts w:ascii="Century" w:hAnsi="Century" w:cs="Arial"/>
          <w:sz w:val="24"/>
          <w:szCs w:val="24"/>
        </w:rPr>
        <w:t xml:space="preserve"> discriminaciones </w:t>
      </w:r>
      <w:r w:rsidRPr="002C13F3">
        <w:rPr>
          <w:rFonts w:ascii="Century" w:hAnsi="Century" w:cs="Arial"/>
          <w:sz w:val="24"/>
          <w:szCs w:val="24"/>
        </w:rPr>
        <w:t>con respecto a la</w:t>
      </w:r>
      <w:r w:rsidR="006109F4">
        <w:rPr>
          <w:rFonts w:ascii="Century" w:hAnsi="Century" w:cs="Arial"/>
          <w:sz w:val="24"/>
          <w:szCs w:val="24"/>
        </w:rPr>
        <w:t xml:space="preserve"> libre circulación de </w:t>
      </w:r>
      <w:r w:rsidR="006109F4">
        <w:rPr>
          <w:rFonts w:ascii="Century" w:hAnsi="Century" w:cs="Arial"/>
          <w:sz w:val="24"/>
          <w:szCs w:val="24"/>
        </w:rPr>
        <w:lastRenderedPageBreak/>
        <w:t>capitales</w:t>
      </w:r>
      <w:r w:rsidRPr="002C13F3">
        <w:rPr>
          <w:rFonts w:ascii="Century" w:hAnsi="Century" w:cs="Arial"/>
          <w:sz w:val="24"/>
          <w:szCs w:val="24"/>
        </w:rPr>
        <w:t xml:space="preserve"> y con respecto a los causantes</w:t>
      </w:r>
      <w:r w:rsidR="008A32D3">
        <w:rPr>
          <w:rFonts w:ascii="Century" w:hAnsi="Century" w:cs="Arial"/>
          <w:sz w:val="24"/>
          <w:szCs w:val="24"/>
        </w:rPr>
        <w:t xml:space="preserve"> y causahabientes</w:t>
      </w:r>
      <w:r w:rsidR="00C519E1" w:rsidRPr="002C13F3">
        <w:rPr>
          <w:rFonts w:ascii="Century" w:hAnsi="Century" w:cs="Arial"/>
          <w:sz w:val="24"/>
          <w:szCs w:val="24"/>
        </w:rPr>
        <w:t>,</w:t>
      </w:r>
      <w:r w:rsidRPr="002C13F3">
        <w:rPr>
          <w:rFonts w:ascii="Century" w:hAnsi="Century" w:cs="Arial"/>
          <w:sz w:val="24"/>
          <w:szCs w:val="24"/>
        </w:rPr>
        <w:t xml:space="preserve"> según sean o no residentes</w:t>
      </w:r>
      <w:r w:rsidRPr="002C13F3">
        <w:rPr>
          <w:rStyle w:val="Refdenotaalpie"/>
          <w:rFonts w:ascii="Century" w:hAnsi="Century" w:cs="Arial"/>
          <w:sz w:val="24"/>
          <w:szCs w:val="24"/>
        </w:rPr>
        <w:footnoteReference w:id="75"/>
      </w:r>
      <w:r w:rsidRPr="002C13F3">
        <w:rPr>
          <w:rFonts w:ascii="Century" w:hAnsi="Century" w:cs="Arial"/>
          <w:sz w:val="24"/>
          <w:szCs w:val="24"/>
        </w:rPr>
        <w:t xml:space="preserve">. </w:t>
      </w:r>
    </w:p>
    <w:p w:rsidR="003126CE" w:rsidRPr="002C13F3" w:rsidRDefault="003126CE" w:rsidP="00B95B9B">
      <w:pPr>
        <w:pStyle w:val="NormalWeb"/>
        <w:spacing w:before="0" w:beforeAutospacing="0" w:after="240" w:afterAutospacing="0" w:line="360" w:lineRule="auto"/>
        <w:ind w:firstLine="708"/>
        <w:jc w:val="both"/>
        <w:rPr>
          <w:rFonts w:ascii="Century" w:eastAsiaTheme="minorHAnsi" w:hAnsi="Century" w:cs="Arial"/>
          <w:lang w:eastAsia="en-US"/>
        </w:rPr>
      </w:pPr>
      <w:r w:rsidRPr="002C13F3">
        <w:rPr>
          <w:rFonts w:ascii="Century" w:eastAsiaTheme="minorHAnsi" w:hAnsi="Century" w:cs="Arial"/>
          <w:lang w:eastAsia="en-US"/>
        </w:rPr>
        <w:t>Este cambio resulta desconcertante, puesto que</w:t>
      </w:r>
      <w:r w:rsidR="006109F4">
        <w:rPr>
          <w:rFonts w:ascii="Century" w:eastAsiaTheme="minorHAnsi" w:hAnsi="Century" w:cs="Arial"/>
          <w:lang w:eastAsia="en-US"/>
        </w:rPr>
        <w:t>,</w:t>
      </w:r>
      <w:r w:rsidRPr="002C13F3">
        <w:rPr>
          <w:rFonts w:ascii="Century" w:eastAsiaTheme="minorHAnsi" w:hAnsi="Century" w:cs="Arial"/>
          <w:lang w:eastAsia="en-US"/>
        </w:rPr>
        <w:t xml:space="preserve"> por un lado, no modifica el texto de la ley del impuesto, por lo que no sufre ninguna alteración la obligación real de contribuir, que tantos problemas ocasiona. Y por otro lado, incluye una nueva redacción a la D</w:t>
      </w:r>
      <w:r w:rsidR="00D62E68">
        <w:rPr>
          <w:rFonts w:ascii="Century" w:eastAsiaTheme="minorHAnsi" w:hAnsi="Century" w:cs="Arial"/>
          <w:lang w:eastAsia="en-US"/>
        </w:rPr>
        <w:t>isposición Adicional S</w:t>
      </w:r>
      <w:r w:rsidRPr="002C13F3">
        <w:rPr>
          <w:rFonts w:ascii="Century" w:eastAsiaTheme="minorHAnsi" w:hAnsi="Century" w:cs="Arial"/>
          <w:lang w:eastAsia="en-US"/>
        </w:rPr>
        <w:t>egunda de dicha ley, ya que la antigua Disposición adicional introducía modificaciones en el Texto Refundido del Impuesto sobre Transmisiones Patrimoniales y Actos Jurídicos Documentados de 1980, texto que ya no está en vigor, por lo que había perdid</w:t>
      </w:r>
      <w:r w:rsidR="00C519E1" w:rsidRPr="002C13F3">
        <w:rPr>
          <w:rFonts w:ascii="Century" w:eastAsiaTheme="minorHAnsi" w:hAnsi="Century" w:cs="Arial"/>
          <w:lang w:eastAsia="en-US"/>
        </w:rPr>
        <w:t>o toda su vigencia. L</w:t>
      </w:r>
      <w:r w:rsidRPr="002C13F3">
        <w:rPr>
          <w:rFonts w:ascii="Century" w:eastAsiaTheme="minorHAnsi" w:hAnsi="Century" w:cs="Arial"/>
          <w:lang w:eastAsia="en-US"/>
        </w:rPr>
        <w:t xml:space="preserve">a nueva </w:t>
      </w:r>
      <w:r w:rsidR="00C519E1" w:rsidRPr="002C13F3">
        <w:rPr>
          <w:rFonts w:ascii="Century" w:eastAsiaTheme="minorHAnsi" w:hAnsi="Century" w:cs="Arial"/>
          <w:lang w:eastAsia="en-US"/>
        </w:rPr>
        <w:t>redacción trata de adecuar</w:t>
      </w:r>
      <w:r w:rsidR="006109F4">
        <w:rPr>
          <w:rFonts w:ascii="Century" w:eastAsiaTheme="minorHAnsi" w:hAnsi="Century" w:cs="Arial"/>
          <w:lang w:eastAsia="en-US"/>
        </w:rPr>
        <w:t xml:space="preserve"> </w:t>
      </w:r>
      <w:r w:rsidRPr="002C13F3">
        <w:rPr>
          <w:rFonts w:ascii="Century" w:eastAsiaTheme="minorHAnsi" w:hAnsi="Century" w:cs="Arial"/>
          <w:lang w:eastAsia="en-US"/>
        </w:rPr>
        <w:t>la normativa del impuesto a lo dispuesto en la STJUE</w:t>
      </w:r>
      <w:r w:rsidR="008759AE">
        <w:rPr>
          <w:rFonts w:ascii="Century" w:eastAsiaTheme="minorHAnsi" w:hAnsi="Century" w:cs="Arial"/>
          <w:lang w:eastAsia="en-US"/>
        </w:rPr>
        <w:t xml:space="preserve"> de</w:t>
      </w:r>
      <w:r w:rsidRPr="002C13F3">
        <w:rPr>
          <w:rFonts w:ascii="Century" w:eastAsiaTheme="minorHAnsi" w:hAnsi="Century" w:cs="Arial"/>
          <w:lang w:eastAsia="en-US"/>
        </w:rPr>
        <w:t xml:space="preserve"> 2014</w:t>
      </w:r>
      <w:r w:rsidR="006109F4">
        <w:rPr>
          <w:rFonts w:ascii="Century" w:eastAsiaTheme="minorHAnsi" w:hAnsi="Century" w:cs="Arial"/>
          <w:lang w:eastAsia="en-US"/>
        </w:rPr>
        <w:t xml:space="preserve">, </w:t>
      </w:r>
      <w:r w:rsidR="006109F4" w:rsidRPr="002C13F3">
        <w:rPr>
          <w:rFonts w:ascii="Century" w:eastAsiaTheme="minorHAnsi" w:hAnsi="Century" w:cs="Arial"/>
          <w:lang w:eastAsia="en-US"/>
        </w:rPr>
        <w:t>pero sin resolver definitivamente los problemas planteados</w:t>
      </w:r>
      <w:r w:rsidR="006109F4">
        <w:rPr>
          <w:rFonts w:ascii="Century" w:eastAsiaTheme="minorHAnsi" w:hAnsi="Century" w:cs="Arial"/>
          <w:lang w:eastAsia="en-US"/>
        </w:rPr>
        <w:t>.</w:t>
      </w:r>
      <w:r w:rsidRPr="002C13F3">
        <w:rPr>
          <w:rFonts w:ascii="Century" w:eastAsiaTheme="minorHAnsi" w:hAnsi="Century" w:cs="Arial"/>
          <w:lang w:eastAsia="en-US"/>
        </w:rPr>
        <w:t xml:space="preserve"> </w:t>
      </w:r>
    </w:p>
    <w:p w:rsidR="003126CE" w:rsidRPr="002C13F3" w:rsidRDefault="00C519E1" w:rsidP="00B95B9B">
      <w:pPr>
        <w:pStyle w:val="NormalWeb"/>
        <w:spacing w:before="0" w:beforeAutospacing="0" w:after="240" w:afterAutospacing="0" w:line="360" w:lineRule="auto"/>
        <w:ind w:firstLine="708"/>
        <w:jc w:val="both"/>
        <w:rPr>
          <w:rFonts w:ascii="Century" w:eastAsiaTheme="minorEastAsia" w:hAnsi="Century" w:cs="Arial"/>
        </w:rPr>
      </w:pPr>
      <w:r w:rsidRPr="002C13F3">
        <w:rPr>
          <w:rFonts w:ascii="Century" w:eastAsiaTheme="minorEastAsia" w:hAnsi="Century" w:cs="Arial"/>
        </w:rPr>
        <w:t>C</w:t>
      </w:r>
      <w:r w:rsidR="003126CE" w:rsidRPr="002C13F3">
        <w:rPr>
          <w:rFonts w:ascii="Century" w:eastAsiaTheme="minorEastAsia" w:hAnsi="Century" w:cs="Arial"/>
        </w:rPr>
        <w:t>on esta nueva redacción, que ha entrado en vigor el 1 de enero</w:t>
      </w:r>
      <w:r w:rsidRPr="002C13F3">
        <w:rPr>
          <w:rFonts w:ascii="Century" w:eastAsiaTheme="minorEastAsia" w:hAnsi="Century" w:cs="Arial"/>
        </w:rPr>
        <w:t xml:space="preserve"> de 2015, continúan</w:t>
      </w:r>
      <w:r w:rsidR="003126CE" w:rsidRPr="002C13F3">
        <w:rPr>
          <w:rFonts w:ascii="Century" w:eastAsiaTheme="minorEastAsia" w:hAnsi="Century" w:cs="Arial"/>
        </w:rPr>
        <w:t xml:space="preserve"> existiendo dos cl</w:t>
      </w:r>
      <w:r w:rsidRPr="002C13F3">
        <w:rPr>
          <w:rFonts w:ascii="Century" w:eastAsiaTheme="minorEastAsia" w:hAnsi="Century" w:cs="Arial"/>
        </w:rPr>
        <w:t>ases de no residentes en España. P</w:t>
      </w:r>
      <w:r w:rsidR="003126CE" w:rsidRPr="002C13F3">
        <w:rPr>
          <w:rFonts w:ascii="Century" w:eastAsiaTheme="minorEastAsia" w:hAnsi="Century" w:cs="Arial"/>
        </w:rPr>
        <w:t>or un lado, aquellos sujetos que no son residentes en España</w:t>
      </w:r>
      <w:r w:rsidRPr="002C13F3">
        <w:rPr>
          <w:rFonts w:ascii="Century" w:eastAsiaTheme="minorEastAsia" w:hAnsi="Century" w:cs="Arial"/>
        </w:rPr>
        <w:t>,</w:t>
      </w:r>
      <w:r w:rsidR="003126CE" w:rsidRPr="002C13F3">
        <w:rPr>
          <w:rFonts w:ascii="Century" w:eastAsiaTheme="minorEastAsia" w:hAnsi="Century" w:cs="Arial"/>
        </w:rPr>
        <w:t xml:space="preserve"> pero sí lo son en EM de la Unión o de</w:t>
      </w:r>
      <w:r w:rsidR="0001550B" w:rsidRPr="002C13F3">
        <w:rPr>
          <w:rFonts w:ascii="Century" w:eastAsiaTheme="minorEastAsia" w:hAnsi="Century" w:cs="Arial"/>
        </w:rPr>
        <w:t>l Espacio Económico Europeo</w:t>
      </w:r>
      <w:r w:rsidR="003126CE" w:rsidRPr="002C13F3">
        <w:rPr>
          <w:rFonts w:ascii="Century" w:eastAsiaTheme="minorEastAsia" w:hAnsi="Century" w:cs="Arial"/>
        </w:rPr>
        <w:t>, y a los cuales se les aplicará las normas de la mo</w:t>
      </w:r>
      <w:r w:rsidRPr="002C13F3">
        <w:rPr>
          <w:rFonts w:ascii="Century" w:eastAsiaTheme="minorEastAsia" w:hAnsi="Century" w:cs="Arial"/>
        </w:rPr>
        <w:t>dificación. Y,</w:t>
      </w:r>
      <w:r w:rsidR="003126CE" w:rsidRPr="002C13F3">
        <w:rPr>
          <w:rFonts w:ascii="Century" w:eastAsiaTheme="minorEastAsia" w:hAnsi="Century" w:cs="Arial"/>
        </w:rPr>
        <w:t xml:space="preserve"> por otro lado, los sujetos no residentes en España pero que además tampoco lo son en ningún Estado </w:t>
      </w:r>
      <w:r w:rsidR="0001550B" w:rsidRPr="002C13F3">
        <w:rPr>
          <w:rFonts w:ascii="Century" w:eastAsiaTheme="minorEastAsia" w:hAnsi="Century" w:cs="Arial"/>
        </w:rPr>
        <w:t>m</w:t>
      </w:r>
      <w:r w:rsidR="003126CE" w:rsidRPr="002C13F3">
        <w:rPr>
          <w:rFonts w:ascii="Century" w:eastAsiaTheme="minorEastAsia" w:hAnsi="Century" w:cs="Arial"/>
        </w:rPr>
        <w:t>iembro, sino en un país tercero, por lo que les sería aplicable la le</w:t>
      </w:r>
      <w:r w:rsidRPr="002C13F3">
        <w:rPr>
          <w:rFonts w:ascii="Century" w:eastAsiaTheme="minorEastAsia" w:hAnsi="Century" w:cs="Arial"/>
        </w:rPr>
        <w:t xml:space="preserve">gislación estatal </w:t>
      </w:r>
      <w:r w:rsidR="003126CE" w:rsidRPr="002C13F3">
        <w:rPr>
          <w:rFonts w:ascii="Century" w:eastAsiaTheme="minorEastAsia" w:hAnsi="Century" w:cs="Arial"/>
        </w:rPr>
        <w:t xml:space="preserve">no pudiendo favorecerse de los beneficios fiscales establecidos en las CCAA. </w:t>
      </w:r>
      <w:r w:rsidRPr="002C13F3">
        <w:rPr>
          <w:rFonts w:ascii="Century" w:eastAsiaTheme="minorEastAsia" w:hAnsi="Century" w:cs="Arial"/>
        </w:rPr>
        <w:t xml:space="preserve">Así, y conforme al </w:t>
      </w:r>
      <w:r w:rsidR="003126CE" w:rsidRPr="002C13F3">
        <w:rPr>
          <w:rFonts w:ascii="Century" w:eastAsiaTheme="minorEastAsia" w:hAnsi="Century" w:cs="Arial"/>
        </w:rPr>
        <w:t xml:space="preserve">TFUE, en su art. 63.1, </w:t>
      </w:r>
      <w:r w:rsidRPr="002C13F3">
        <w:rPr>
          <w:rFonts w:ascii="Century" w:eastAsiaTheme="minorEastAsia" w:hAnsi="Century" w:cs="Arial"/>
        </w:rPr>
        <w:t>sería</w:t>
      </w:r>
      <w:r w:rsidR="003126CE" w:rsidRPr="002C13F3">
        <w:rPr>
          <w:rFonts w:ascii="Century" w:eastAsiaTheme="minorEastAsia" w:hAnsi="Century" w:cs="Arial"/>
        </w:rPr>
        <w:t xml:space="preserve"> esto</w:t>
      </w:r>
      <w:r w:rsidRPr="002C13F3">
        <w:rPr>
          <w:rFonts w:ascii="Century" w:eastAsiaTheme="minorEastAsia" w:hAnsi="Century" w:cs="Arial"/>
        </w:rPr>
        <w:t xml:space="preserve"> igualmente</w:t>
      </w:r>
      <w:r w:rsidR="003126CE" w:rsidRPr="002C13F3">
        <w:rPr>
          <w:rFonts w:ascii="Century" w:eastAsiaTheme="minorEastAsia" w:hAnsi="Century" w:cs="Arial"/>
        </w:rPr>
        <w:t xml:space="preserve"> discriminatorio</w:t>
      </w:r>
      <w:r w:rsidRPr="002C13F3">
        <w:rPr>
          <w:rFonts w:ascii="Century" w:eastAsiaTheme="minorEastAsia" w:hAnsi="Century" w:cs="Arial"/>
        </w:rPr>
        <w:t>, al</w:t>
      </w:r>
      <w:r w:rsidR="003126CE" w:rsidRPr="002C13F3">
        <w:rPr>
          <w:rFonts w:ascii="Century" w:eastAsiaTheme="minorEastAsia" w:hAnsi="Century" w:cs="Arial"/>
        </w:rPr>
        <w:t xml:space="preserve"> considera</w:t>
      </w:r>
      <w:r w:rsidRPr="002C13F3">
        <w:rPr>
          <w:rFonts w:ascii="Century" w:eastAsiaTheme="minorEastAsia" w:hAnsi="Century" w:cs="Arial"/>
        </w:rPr>
        <w:t>r</w:t>
      </w:r>
      <w:r w:rsidR="003126CE" w:rsidRPr="002C13F3">
        <w:rPr>
          <w:rFonts w:ascii="Century" w:eastAsiaTheme="minorEastAsia" w:hAnsi="Century" w:cs="Arial"/>
        </w:rPr>
        <w:t xml:space="preserve"> que la libre circulación de capitales también es ampliable a países terceros</w:t>
      </w:r>
      <w:r w:rsidR="003126CE" w:rsidRPr="002C13F3">
        <w:rPr>
          <w:rStyle w:val="Refdenotaalpie"/>
          <w:rFonts w:ascii="Century" w:eastAsiaTheme="minorEastAsia" w:hAnsi="Century" w:cs="Arial"/>
        </w:rPr>
        <w:footnoteReference w:id="76"/>
      </w:r>
      <w:r w:rsidR="003126CE" w:rsidRPr="002C13F3">
        <w:rPr>
          <w:rFonts w:ascii="Century" w:eastAsiaTheme="minorEastAsia" w:hAnsi="Century" w:cs="Arial"/>
        </w:rPr>
        <w:t xml:space="preserve">. </w:t>
      </w:r>
    </w:p>
    <w:p w:rsidR="00457919" w:rsidRDefault="00457919" w:rsidP="00B95B9B">
      <w:pPr>
        <w:pStyle w:val="NormalWeb"/>
        <w:spacing w:before="0" w:beforeAutospacing="0" w:after="240" w:afterAutospacing="0" w:line="360" w:lineRule="auto"/>
        <w:ind w:firstLine="708"/>
        <w:jc w:val="both"/>
        <w:rPr>
          <w:rFonts w:ascii="Century" w:eastAsiaTheme="minorEastAsia" w:hAnsi="Century" w:cs="Arial"/>
        </w:rPr>
      </w:pPr>
    </w:p>
    <w:p w:rsidR="00457919" w:rsidRPr="002C13F3" w:rsidRDefault="00457919" w:rsidP="00457919">
      <w:pPr>
        <w:pStyle w:val="Default"/>
        <w:spacing w:after="240" w:line="360" w:lineRule="auto"/>
        <w:jc w:val="both"/>
        <w:rPr>
          <w:rFonts w:ascii="Century" w:hAnsi="Century"/>
        </w:rPr>
      </w:pPr>
      <w:r>
        <w:rPr>
          <w:rFonts w:ascii="Century" w:hAnsi="Century"/>
        </w:rPr>
        <w:lastRenderedPageBreak/>
        <w:tab/>
        <w:t>Por tanto, la reforma que se ha producido en la LISD sobre</w:t>
      </w:r>
      <w:r w:rsidRPr="002C13F3">
        <w:rPr>
          <w:rFonts w:ascii="Century" w:hAnsi="Century"/>
        </w:rPr>
        <w:t xml:space="preserve"> extender el punto de conexión</w:t>
      </w:r>
      <w:r>
        <w:rPr>
          <w:rFonts w:ascii="Century" w:hAnsi="Century"/>
        </w:rPr>
        <w:t>, la residencia del causante,</w:t>
      </w:r>
      <w:r w:rsidRPr="002C13F3">
        <w:rPr>
          <w:rFonts w:ascii="Century" w:hAnsi="Century"/>
        </w:rPr>
        <w:t xml:space="preserve"> con el objetivo de que el heredero de un causante no residente (que tenga la mayor parte de sus bienes en España) que esté en una situación objetivamente comparable con otro heredero de un causante residente en territorio español, puede aplicarse la misma norm</w:t>
      </w:r>
      <w:r>
        <w:rPr>
          <w:rFonts w:ascii="Century" w:hAnsi="Century"/>
        </w:rPr>
        <w:t>ativa autonómica. Pero este hecho no se extiende a los no residentes de países terceros, por lo que se debería de proponer una reforma en este punto</w:t>
      </w:r>
      <w:r w:rsidRPr="002C13F3">
        <w:rPr>
          <w:rStyle w:val="Refdenotaalpie"/>
          <w:rFonts w:ascii="Century" w:hAnsi="Century"/>
        </w:rPr>
        <w:footnoteReference w:id="77"/>
      </w:r>
      <w:r w:rsidRPr="002C13F3">
        <w:rPr>
          <w:rFonts w:ascii="Century" w:hAnsi="Century"/>
        </w:rPr>
        <w:t>.</w:t>
      </w:r>
    </w:p>
    <w:p w:rsidR="00457919" w:rsidRPr="002C13F3" w:rsidRDefault="00457919" w:rsidP="00457919">
      <w:pPr>
        <w:spacing w:after="240" w:line="360" w:lineRule="auto"/>
        <w:jc w:val="both"/>
        <w:rPr>
          <w:rFonts w:ascii="Century" w:hAnsi="Century"/>
          <w:sz w:val="24"/>
          <w:szCs w:val="24"/>
        </w:rPr>
      </w:pPr>
      <w:r w:rsidRPr="002C13F3">
        <w:rPr>
          <w:rFonts w:ascii="Century" w:hAnsi="Century"/>
          <w:sz w:val="24"/>
          <w:szCs w:val="24"/>
        </w:rPr>
        <w:tab/>
      </w:r>
      <w:r>
        <w:rPr>
          <w:rFonts w:ascii="Century" w:hAnsi="Century"/>
          <w:sz w:val="24"/>
          <w:szCs w:val="24"/>
        </w:rPr>
        <w:t>GARCÍA DE PABLOS acentúa la</w:t>
      </w:r>
      <w:r w:rsidRPr="002C13F3">
        <w:rPr>
          <w:rFonts w:ascii="Century" w:hAnsi="Century"/>
          <w:sz w:val="24"/>
          <w:szCs w:val="24"/>
        </w:rPr>
        <w:t xml:space="preserve"> reforma </w:t>
      </w:r>
      <w:r>
        <w:rPr>
          <w:rFonts w:ascii="Century" w:hAnsi="Century"/>
          <w:sz w:val="24"/>
          <w:szCs w:val="24"/>
        </w:rPr>
        <w:t>que se ha producido en</w:t>
      </w:r>
      <w:r w:rsidRPr="002C13F3">
        <w:rPr>
          <w:rFonts w:ascii="Century" w:hAnsi="Century"/>
          <w:sz w:val="24"/>
          <w:szCs w:val="24"/>
        </w:rPr>
        <w:t xml:space="preserve"> la legislación estatal </w:t>
      </w:r>
      <w:r>
        <w:rPr>
          <w:rFonts w:ascii="Century" w:hAnsi="Century"/>
          <w:sz w:val="24"/>
          <w:szCs w:val="24"/>
        </w:rPr>
        <w:t>sobre</w:t>
      </w:r>
      <w:r w:rsidRPr="002C13F3">
        <w:rPr>
          <w:rFonts w:ascii="Century" w:hAnsi="Century"/>
          <w:sz w:val="24"/>
          <w:szCs w:val="24"/>
        </w:rPr>
        <w:t xml:space="preserve"> la aplicación de la normativa autonómica a los herederos del causante no residente. </w:t>
      </w:r>
      <w:r>
        <w:rPr>
          <w:rFonts w:ascii="Century" w:hAnsi="Century"/>
          <w:sz w:val="24"/>
          <w:szCs w:val="24"/>
        </w:rPr>
        <w:t>Es decir, a los no residentes s</w:t>
      </w:r>
      <w:r w:rsidRPr="002C13F3">
        <w:rPr>
          <w:rFonts w:ascii="Century" w:hAnsi="Century"/>
          <w:sz w:val="24"/>
          <w:szCs w:val="24"/>
        </w:rPr>
        <w:t xml:space="preserve">e les podría aplicar la normativa de la Comunidad Autónoma donde se encontrasen los bienes o la mayoría de ellos, sin tener en cuenta la residencia de los herederos, además de evitar que cuando el heredero sea también no residente no exista punto de conexión. </w:t>
      </w:r>
      <w:r>
        <w:rPr>
          <w:rFonts w:ascii="Century" w:hAnsi="Century"/>
          <w:sz w:val="24"/>
          <w:szCs w:val="24"/>
        </w:rPr>
        <w:t>Por lo que l</w:t>
      </w:r>
      <w:r w:rsidRPr="002C13F3">
        <w:rPr>
          <w:rFonts w:ascii="Century" w:hAnsi="Century"/>
          <w:sz w:val="24"/>
          <w:szCs w:val="24"/>
        </w:rPr>
        <w:t>o</w:t>
      </w:r>
      <w:r>
        <w:rPr>
          <w:rFonts w:ascii="Century" w:hAnsi="Century"/>
          <w:sz w:val="24"/>
          <w:szCs w:val="24"/>
        </w:rPr>
        <w:t>s herederos no residentes podrían</w:t>
      </w:r>
      <w:r w:rsidRPr="002C13F3">
        <w:rPr>
          <w:rFonts w:ascii="Century" w:hAnsi="Century"/>
          <w:sz w:val="24"/>
          <w:szCs w:val="24"/>
        </w:rPr>
        <w:t xml:space="preserve"> aplicarse los beneficios fiscales de las CCAA, siendo la normativa de la Comunidad correspondiente donde el causante tenga su residencia habitual en territorio español. Si el causante y el heredero fueran no residentes, la normativa aplicable sería donde estén situados los bienes o la gran mayoría de ellos</w:t>
      </w:r>
      <w:r w:rsidRPr="002C13F3">
        <w:rPr>
          <w:rStyle w:val="Refdenotaalpie"/>
          <w:rFonts w:ascii="Century" w:hAnsi="Century"/>
          <w:sz w:val="24"/>
          <w:szCs w:val="24"/>
        </w:rPr>
        <w:footnoteReference w:id="78"/>
      </w:r>
      <w:r w:rsidRPr="002C13F3">
        <w:rPr>
          <w:rFonts w:ascii="Century" w:hAnsi="Century"/>
          <w:sz w:val="24"/>
          <w:szCs w:val="24"/>
        </w:rPr>
        <w:t xml:space="preserve">. </w:t>
      </w:r>
    </w:p>
    <w:p w:rsidR="00A81FA2" w:rsidRDefault="00A81FA2" w:rsidP="00B95B9B">
      <w:pPr>
        <w:pStyle w:val="NormalWeb"/>
        <w:spacing w:before="0" w:beforeAutospacing="0" w:after="240" w:afterAutospacing="0" w:line="360" w:lineRule="auto"/>
        <w:ind w:firstLine="708"/>
        <w:jc w:val="both"/>
        <w:rPr>
          <w:rFonts w:ascii="Century" w:eastAsiaTheme="minorEastAsia" w:hAnsi="Century" w:cs="Arial"/>
        </w:rPr>
      </w:pPr>
      <w:r w:rsidRPr="002C13F3">
        <w:rPr>
          <w:rFonts w:ascii="Century" w:eastAsiaTheme="minorEastAsia" w:hAnsi="Century" w:cs="Arial"/>
        </w:rPr>
        <w:t xml:space="preserve">Otro de los efectos de esta sentencia es que todos los sujetos pasivos no residentes </w:t>
      </w:r>
      <w:r w:rsidR="00ED4093">
        <w:rPr>
          <w:rFonts w:ascii="Century" w:eastAsiaTheme="minorEastAsia" w:hAnsi="Century" w:cs="Arial"/>
        </w:rPr>
        <w:t>en España pero sí en un Estado m</w:t>
      </w:r>
      <w:r w:rsidRPr="002C13F3">
        <w:rPr>
          <w:rFonts w:ascii="Century" w:eastAsiaTheme="minorEastAsia" w:hAnsi="Century" w:cs="Arial"/>
        </w:rPr>
        <w:t xml:space="preserve">iembro de la UE que ya hayan pagado en exceso el impuesto, podrán reclamar la devolución del importe ingresado ilegalmente, haciendo por tanto uso de su derecho. En este sentido, hay que señalar el efecto retroactivo de la modificación normativa, que reconoce el derecho a los contribuyentes a que les sea </w:t>
      </w:r>
      <w:r w:rsidRPr="002C13F3">
        <w:rPr>
          <w:rFonts w:ascii="Century" w:eastAsiaTheme="minorEastAsia" w:hAnsi="Century" w:cs="Arial"/>
        </w:rPr>
        <w:lastRenderedPageBreak/>
        <w:t>devuelto aquellos ingresos que han pagado de más sobre sucesiones ya liquidadas. Para ello, los contribuyentes deberán solicitar la rectificación de la autoliquidación y la reintegración patrimonial de lo ingresado indebidamente, siempre que no haya prescrito este derecho. Además, en el plazo de un año desde que se dictara la sentencia del TJUE, el contribuyente podrá exigir la responsabilidad patrimonial de la Administración por haber liquidado el tributo basándose en una normativa fiscal contraria al Derecho de la Unión</w:t>
      </w:r>
      <w:r w:rsidR="00FC056C">
        <w:rPr>
          <w:rFonts w:ascii="Century" w:eastAsiaTheme="minorEastAsia" w:hAnsi="Century" w:cs="Arial"/>
        </w:rPr>
        <w:t>,</w:t>
      </w:r>
      <w:r w:rsidRPr="002C13F3">
        <w:rPr>
          <w:rFonts w:ascii="Century" w:eastAsiaTheme="minorEastAsia" w:hAnsi="Century" w:cs="Arial"/>
        </w:rPr>
        <w:t xml:space="preserve"> con los consiguientes problemas añadidos</w:t>
      </w:r>
      <w:r w:rsidRPr="002C13F3">
        <w:rPr>
          <w:rStyle w:val="Refdenotaalpie"/>
          <w:rFonts w:ascii="Century" w:eastAsiaTheme="minorEastAsia" w:hAnsi="Century" w:cs="Arial"/>
        </w:rPr>
        <w:footnoteReference w:id="79"/>
      </w:r>
      <w:r w:rsidRPr="002C13F3">
        <w:rPr>
          <w:rFonts w:ascii="Century" w:eastAsiaTheme="minorEastAsia" w:hAnsi="Century" w:cs="Arial"/>
        </w:rPr>
        <w:t xml:space="preserve">. </w:t>
      </w:r>
    </w:p>
    <w:p w:rsidR="009207B8" w:rsidRPr="00FC056C" w:rsidRDefault="00104AE4" w:rsidP="00B95B9B">
      <w:pPr>
        <w:spacing w:after="240" w:line="360" w:lineRule="auto"/>
        <w:ind w:firstLine="708"/>
        <w:jc w:val="both"/>
        <w:rPr>
          <w:rFonts w:ascii="Century" w:hAnsi="Century" w:cs="Arial"/>
          <w:color w:val="FF0000"/>
          <w:sz w:val="24"/>
          <w:szCs w:val="24"/>
        </w:rPr>
      </w:pPr>
      <w:r>
        <w:rPr>
          <w:rFonts w:ascii="Century" w:hAnsi="Century" w:cs="Arial"/>
          <w:sz w:val="24"/>
          <w:szCs w:val="24"/>
        </w:rPr>
        <w:t>Los requisitos para la devolución de l</w:t>
      </w:r>
      <w:r w:rsidR="009207B8" w:rsidRPr="002C13F3">
        <w:rPr>
          <w:rFonts w:ascii="Century" w:hAnsi="Century" w:cs="Arial"/>
          <w:sz w:val="24"/>
          <w:szCs w:val="24"/>
        </w:rPr>
        <w:t>os ingresos indebidos</w:t>
      </w:r>
      <w:r>
        <w:rPr>
          <w:rFonts w:ascii="Century" w:hAnsi="Century" w:cs="Arial"/>
          <w:sz w:val="24"/>
          <w:szCs w:val="24"/>
        </w:rPr>
        <w:t xml:space="preserve"> son</w:t>
      </w:r>
      <w:r w:rsidRPr="00104AE4">
        <w:rPr>
          <w:rFonts w:cstheme="minorHAnsi"/>
          <w:sz w:val="24"/>
          <w:szCs w:val="24"/>
        </w:rPr>
        <w:t>:</w:t>
      </w:r>
      <w:r>
        <w:rPr>
          <w:rFonts w:cstheme="minorHAnsi"/>
          <w:sz w:val="24"/>
          <w:szCs w:val="24"/>
        </w:rPr>
        <w:t xml:space="preserve"> </w:t>
      </w:r>
      <w:r w:rsidR="00B07A97">
        <w:rPr>
          <w:rFonts w:ascii="Century" w:hAnsi="Century" w:cstheme="minorHAnsi"/>
          <w:sz w:val="24"/>
          <w:szCs w:val="24"/>
        </w:rPr>
        <w:t>haber tributado por el ISUC</w:t>
      </w:r>
      <w:r>
        <w:rPr>
          <w:rFonts w:ascii="Century" w:hAnsi="Century" w:cstheme="minorHAnsi"/>
          <w:sz w:val="24"/>
          <w:szCs w:val="24"/>
        </w:rPr>
        <w:t xml:space="preserve"> en España</w:t>
      </w:r>
      <w:r w:rsidRPr="00104AE4">
        <w:rPr>
          <w:rFonts w:cstheme="minorHAnsi"/>
          <w:sz w:val="24"/>
          <w:szCs w:val="24"/>
        </w:rPr>
        <w:t>;</w:t>
      </w:r>
      <w:r>
        <w:rPr>
          <w:rFonts w:ascii="Century" w:hAnsi="Century" w:cstheme="minorHAnsi"/>
          <w:sz w:val="24"/>
          <w:szCs w:val="24"/>
        </w:rPr>
        <w:t xml:space="preserve"> no haber tributado por el IRPF, o que el causante no residiera en España, o los bienes no estuvieran situados en el territorio español</w:t>
      </w:r>
      <w:r>
        <w:rPr>
          <w:rFonts w:cstheme="minorHAnsi"/>
          <w:sz w:val="24"/>
          <w:szCs w:val="24"/>
        </w:rPr>
        <w:t>;</w:t>
      </w:r>
      <w:r>
        <w:rPr>
          <w:rFonts w:ascii="Century" w:hAnsi="Century" w:cstheme="minorHAnsi"/>
          <w:sz w:val="24"/>
          <w:szCs w:val="24"/>
        </w:rPr>
        <w:t xml:space="preserve"> siempre que no hayan transcurrido más de cuatro años desde que se liquidó el impuesto.</w:t>
      </w:r>
      <w:r w:rsidR="00FC056C">
        <w:rPr>
          <w:rFonts w:ascii="Century" w:hAnsi="Century" w:cs="Arial"/>
          <w:sz w:val="24"/>
          <w:szCs w:val="24"/>
        </w:rPr>
        <w:t xml:space="preserve"> Así, e</w:t>
      </w:r>
      <w:r w:rsidR="009207B8" w:rsidRPr="002C13F3">
        <w:rPr>
          <w:rFonts w:ascii="Century" w:hAnsi="Century" w:cs="Arial"/>
          <w:sz w:val="24"/>
          <w:szCs w:val="24"/>
        </w:rPr>
        <w:t xml:space="preserve">n aquellos casos que concurran </w:t>
      </w:r>
      <w:r w:rsidR="00671194">
        <w:rPr>
          <w:rFonts w:ascii="Century" w:hAnsi="Century" w:cs="Arial"/>
          <w:sz w:val="24"/>
          <w:szCs w:val="24"/>
        </w:rPr>
        <w:t>contribuyentes</w:t>
      </w:r>
      <w:r w:rsidR="009207B8" w:rsidRPr="002C13F3">
        <w:rPr>
          <w:rFonts w:ascii="Century" w:hAnsi="Century" w:cs="Arial"/>
          <w:sz w:val="24"/>
          <w:szCs w:val="24"/>
        </w:rPr>
        <w:t xml:space="preserve"> en los que se haya pasado el plazo de prescripción,</w:t>
      </w:r>
      <w:r w:rsidR="00FC056C">
        <w:rPr>
          <w:rFonts w:ascii="Century" w:hAnsi="Century" w:cs="Arial"/>
          <w:sz w:val="24"/>
          <w:szCs w:val="24"/>
        </w:rPr>
        <w:t xml:space="preserve"> hay que considerar que </w:t>
      </w:r>
      <w:r w:rsidR="00671194">
        <w:rPr>
          <w:rFonts w:ascii="Century" w:hAnsi="Century" w:cs="Arial"/>
          <w:sz w:val="24"/>
          <w:szCs w:val="24"/>
        </w:rPr>
        <w:t>sólo</w:t>
      </w:r>
      <w:r w:rsidR="00FC056C">
        <w:rPr>
          <w:rFonts w:ascii="Century" w:hAnsi="Century" w:cs="Arial"/>
          <w:sz w:val="24"/>
          <w:szCs w:val="24"/>
        </w:rPr>
        <w:t xml:space="preserve"> podría</w:t>
      </w:r>
      <w:r w:rsidR="009207B8" w:rsidRPr="002C13F3">
        <w:rPr>
          <w:rFonts w:ascii="Century" w:hAnsi="Century" w:cs="Arial"/>
          <w:sz w:val="24"/>
          <w:szCs w:val="24"/>
        </w:rPr>
        <w:t>n exigir responsabilidad patrimonial al Estado, teniendo presente que, según el art. 293.2 LOPJ, “el derecho a reclamar indemnización prescribirá al año, a partir del día en que pudo ejercitarse”</w:t>
      </w:r>
      <w:r w:rsidR="009207B8" w:rsidRPr="002C13F3">
        <w:rPr>
          <w:rStyle w:val="Refdenotaalpie"/>
          <w:rFonts w:ascii="Century" w:hAnsi="Century" w:cs="Arial"/>
          <w:sz w:val="24"/>
          <w:szCs w:val="24"/>
        </w:rPr>
        <w:footnoteReference w:id="80"/>
      </w:r>
      <w:r w:rsidR="009207B8" w:rsidRPr="002C13F3">
        <w:rPr>
          <w:rFonts w:ascii="Century" w:hAnsi="Century" w:cs="Arial"/>
          <w:sz w:val="24"/>
          <w:szCs w:val="24"/>
        </w:rPr>
        <w:t xml:space="preserve">. </w:t>
      </w:r>
    </w:p>
    <w:p w:rsidR="00420AEF" w:rsidRPr="00550BA7" w:rsidRDefault="00FC056C" w:rsidP="00B95B9B">
      <w:pPr>
        <w:pStyle w:val="NormalWeb"/>
        <w:spacing w:before="0" w:beforeAutospacing="0" w:after="240" w:afterAutospacing="0" w:line="360" w:lineRule="auto"/>
        <w:ind w:firstLine="708"/>
        <w:jc w:val="both"/>
        <w:rPr>
          <w:rFonts w:ascii="Century" w:eastAsiaTheme="minorEastAsia" w:hAnsi="Century" w:cs="Arial"/>
          <w:color w:val="FF0000"/>
        </w:rPr>
      </w:pPr>
      <w:r>
        <w:rPr>
          <w:rFonts w:ascii="Century" w:eastAsiaTheme="minorEastAsia" w:hAnsi="Century" w:cs="Arial"/>
        </w:rPr>
        <w:t xml:space="preserve">En definitiva, podemos decir, que la nueva redacción ha establecido </w:t>
      </w:r>
      <w:r w:rsidR="003126CE" w:rsidRPr="002C13F3">
        <w:rPr>
          <w:rFonts w:ascii="Century" w:eastAsiaTheme="minorEastAsia" w:hAnsi="Century" w:cs="Arial"/>
        </w:rPr>
        <w:t>un trato igualitario en el impuesto para los</w:t>
      </w:r>
      <w:r w:rsidR="00C519E1" w:rsidRPr="002C13F3">
        <w:rPr>
          <w:rFonts w:ascii="Century" w:eastAsiaTheme="minorEastAsia" w:hAnsi="Century" w:cs="Arial"/>
        </w:rPr>
        <w:t xml:space="preserve"> no residentes en España, pero residentes en un país miembro de la UE.</w:t>
      </w:r>
      <w:r w:rsidR="003126CE" w:rsidRPr="002C13F3">
        <w:rPr>
          <w:rFonts w:ascii="Century" w:eastAsiaTheme="minorEastAsia" w:hAnsi="Century" w:cs="Arial"/>
        </w:rPr>
        <w:t xml:space="preserve"> </w:t>
      </w:r>
      <w:r w:rsidR="00E10B41">
        <w:rPr>
          <w:rFonts w:ascii="Century" w:eastAsiaTheme="minorEastAsia" w:hAnsi="Century" w:cs="Arial"/>
        </w:rPr>
        <w:t>Así</w:t>
      </w:r>
      <w:r w:rsidR="003126CE" w:rsidRPr="002C13F3">
        <w:rPr>
          <w:rFonts w:ascii="Century" w:eastAsiaTheme="minorEastAsia" w:hAnsi="Century" w:cs="Arial"/>
        </w:rPr>
        <w:t>, los no residentes</w:t>
      </w:r>
      <w:r w:rsidR="00C519E1" w:rsidRPr="002C13F3">
        <w:rPr>
          <w:rFonts w:ascii="Century" w:eastAsiaTheme="minorEastAsia" w:hAnsi="Century" w:cs="Arial"/>
        </w:rPr>
        <w:t xml:space="preserve"> podrán</w:t>
      </w:r>
      <w:r w:rsidR="003126CE" w:rsidRPr="002C13F3">
        <w:rPr>
          <w:rFonts w:ascii="Century" w:eastAsiaTheme="minorEastAsia" w:hAnsi="Century" w:cs="Arial"/>
        </w:rPr>
        <w:t xml:space="preserve"> disfrutar de los beneficios fiscales establecidos en la </w:t>
      </w:r>
      <w:r w:rsidR="002B5612" w:rsidRPr="002C13F3">
        <w:rPr>
          <w:rFonts w:ascii="Century" w:eastAsiaTheme="minorEastAsia" w:hAnsi="Century" w:cs="Arial"/>
        </w:rPr>
        <w:t xml:space="preserve">normativa estatal y autonómica. </w:t>
      </w:r>
      <w:r>
        <w:rPr>
          <w:rFonts w:ascii="Century" w:eastAsiaTheme="minorEastAsia" w:hAnsi="Century" w:cs="Arial"/>
        </w:rPr>
        <w:t>En cualquier caso, y debido</w:t>
      </w:r>
      <w:r w:rsidR="003126CE" w:rsidRPr="002C13F3">
        <w:rPr>
          <w:rFonts w:ascii="Century" w:eastAsiaTheme="minorEastAsia" w:hAnsi="Century" w:cs="Arial"/>
        </w:rPr>
        <w:t xml:space="preserve"> a estos puntos de conexión,</w:t>
      </w:r>
      <w:r>
        <w:rPr>
          <w:rFonts w:ascii="Century" w:eastAsiaTheme="minorEastAsia" w:hAnsi="Century" w:cs="Arial"/>
        </w:rPr>
        <w:t xml:space="preserve"> no cabe duda de que</w:t>
      </w:r>
      <w:r w:rsidR="003126CE" w:rsidRPr="002C13F3">
        <w:rPr>
          <w:rFonts w:ascii="Century" w:eastAsiaTheme="minorEastAsia" w:hAnsi="Century" w:cs="Arial"/>
        </w:rPr>
        <w:t xml:space="preserve"> </w:t>
      </w:r>
      <w:r w:rsidR="00420AEF" w:rsidRPr="002C13F3">
        <w:rPr>
          <w:rFonts w:ascii="Century" w:eastAsiaTheme="minorEastAsia" w:hAnsi="Century" w:cs="Arial"/>
        </w:rPr>
        <w:t>se seguirá</w:t>
      </w:r>
      <w:r>
        <w:rPr>
          <w:rFonts w:ascii="Century" w:eastAsiaTheme="minorEastAsia" w:hAnsi="Century" w:cs="Arial"/>
        </w:rPr>
        <w:t>n</w:t>
      </w:r>
      <w:r w:rsidR="00420AEF" w:rsidRPr="002C13F3">
        <w:rPr>
          <w:rFonts w:ascii="Century" w:eastAsiaTheme="minorEastAsia" w:hAnsi="Century" w:cs="Arial"/>
        </w:rPr>
        <w:t xml:space="preserve"> produciendo cambios de residencia con </w:t>
      </w:r>
      <w:r w:rsidR="00420AEF" w:rsidRPr="004E2513">
        <w:rPr>
          <w:rFonts w:ascii="Century" w:eastAsiaTheme="minorEastAsia" w:hAnsi="Century" w:cs="Arial"/>
        </w:rPr>
        <w:t>el objeto de o</w:t>
      </w:r>
      <w:r w:rsidRPr="004E2513">
        <w:rPr>
          <w:rFonts w:ascii="Century" w:eastAsiaTheme="minorEastAsia" w:hAnsi="Century" w:cs="Arial"/>
        </w:rPr>
        <w:t xml:space="preserve">btener una mayor ventaja fiscal, con los consiguientes problemas de diferenciación y trato desigual </w:t>
      </w:r>
      <w:r w:rsidR="00550BA7" w:rsidRPr="004E2513">
        <w:rPr>
          <w:rFonts w:ascii="Century" w:eastAsiaTheme="minorEastAsia" w:hAnsi="Century" w:cs="Arial"/>
        </w:rPr>
        <w:t>derivado de la capacidad económica.</w:t>
      </w:r>
    </w:p>
    <w:p w:rsidR="003126CE" w:rsidRPr="00E10B41" w:rsidRDefault="00550BA7" w:rsidP="00E10B41">
      <w:pPr>
        <w:spacing w:after="240" w:line="360" w:lineRule="auto"/>
        <w:ind w:firstLine="708"/>
        <w:jc w:val="both"/>
        <w:rPr>
          <w:rFonts w:ascii="Century" w:hAnsi="Century" w:cs="Arial"/>
          <w:sz w:val="24"/>
          <w:szCs w:val="24"/>
        </w:rPr>
      </w:pPr>
      <w:r w:rsidRPr="00E10B41">
        <w:rPr>
          <w:rFonts w:ascii="Century" w:hAnsi="Century" w:cs="Arial"/>
          <w:sz w:val="24"/>
          <w:szCs w:val="24"/>
        </w:rPr>
        <w:lastRenderedPageBreak/>
        <w:t>L</w:t>
      </w:r>
      <w:r w:rsidR="003126CE" w:rsidRPr="00E10B41">
        <w:rPr>
          <w:rFonts w:ascii="Century" w:hAnsi="Century" w:cs="Arial"/>
          <w:sz w:val="24"/>
          <w:szCs w:val="24"/>
        </w:rPr>
        <w:t>a jurisprudenc</w:t>
      </w:r>
      <w:r w:rsidRPr="00E10B41">
        <w:rPr>
          <w:rFonts w:ascii="Century" w:hAnsi="Century" w:cs="Arial"/>
          <w:sz w:val="24"/>
          <w:szCs w:val="24"/>
        </w:rPr>
        <w:t>ia europea da</w:t>
      </w:r>
      <w:r w:rsidR="003126CE" w:rsidRPr="00E10B41">
        <w:rPr>
          <w:rFonts w:ascii="Century" w:hAnsi="Century" w:cs="Arial"/>
          <w:sz w:val="24"/>
          <w:szCs w:val="24"/>
        </w:rPr>
        <w:t xml:space="preserve"> la razón a la Comisión Europea, obligando </w:t>
      </w:r>
      <w:r w:rsidR="00E10B41" w:rsidRPr="00E10B41">
        <w:rPr>
          <w:rFonts w:ascii="Century" w:hAnsi="Century" w:cs="Arial"/>
          <w:sz w:val="24"/>
          <w:szCs w:val="24"/>
        </w:rPr>
        <w:t>a España a</w:t>
      </w:r>
      <w:r w:rsidR="003126CE" w:rsidRPr="00E10B41">
        <w:rPr>
          <w:rFonts w:ascii="Century" w:hAnsi="Century" w:cs="Arial"/>
          <w:sz w:val="24"/>
          <w:szCs w:val="24"/>
        </w:rPr>
        <w:t xml:space="preserve"> reformar la LISD, acabando </w:t>
      </w:r>
      <w:r w:rsidRPr="00E10B41">
        <w:rPr>
          <w:rFonts w:ascii="Century" w:hAnsi="Century" w:cs="Arial"/>
          <w:sz w:val="24"/>
          <w:szCs w:val="24"/>
        </w:rPr>
        <w:t>teóricamente con algunas discriminaciones, pero manteniéndolas al no entrar ahí las</w:t>
      </w:r>
      <w:r w:rsidR="00954E62">
        <w:rPr>
          <w:rFonts w:ascii="Century" w:hAnsi="Century" w:cs="Arial"/>
          <w:sz w:val="24"/>
          <w:szCs w:val="24"/>
        </w:rPr>
        <w:t xml:space="preserve"> que existen</w:t>
      </w:r>
      <w:r w:rsidRPr="00E10B41">
        <w:rPr>
          <w:rFonts w:ascii="Century" w:hAnsi="Century" w:cs="Arial"/>
          <w:sz w:val="24"/>
          <w:szCs w:val="24"/>
        </w:rPr>
        <w:t xml:space="preserve"> entre residentes</w:t>
      </w:r>
      <w:r w:rsidR="00954E62">
        <w:rPr>
          <w:rFonts w:ascii="Century" w:hAnsi="Century" w:cs="Arial"/>
          <w:sz w:val="24"/>
          <w:szCs w:val="24"/>
        </w:rPr>
        <w:t>,</w:t>
      </w:r>
      <w:r w:rsidRPr="00E10B41">
        <w:rPr>
          <w:rFonts w:ascii="Century" w:hAnsi="Century" w:cs="Arial"/>
          <w:sz w:val="24"/>
          <w:szCs w:val="24"/>
        </w:rPr>
        <w:t xml:space="preserve"> y entre residentes y los que lo son en países de fuera de la U</w:t>
      </w:r>
      <w:r w:rsidR="00954E62">
        <w:rPr>
          <w:rFonts w:ascii="Century" w:hAnsi="Century" w:cs="Arial"/>
          <w:sz w:val="24"/>
          <w:szCs w:val="24"/>
        </w:rPr>
        <w:t>E</w:t>
      </w:r>
      <w:r w:rsidR="003126CE" w:rsidRPr="00E10B41">
        <w:rPr>
          <w:rStyle w:val="Refdenotaalpie"/>
          <w:rFonts w:ascii="Century" w:hAnsi="Century" w:cs="Arial"/>
          <w:sz w:val="24"/>
          <w:szCs w:val="24"/>
        </w:rPr>
        <w:footnoteReference w:id="81"/>
      </w:r>
      <w:r w:rsidR="003126CE" w:rsidRPr="00E10B41">
        <w:rPr>
          <w:rFonts w:ascii="Century" w:hAnsi="Century" w:cs="Arial"/>
          <w:sz w:val="24"/>
          <w:szCs w:val="24"/>
        </w:rPr>
        <w:t xml:space="preserve">. </w:t>
      </w:r>
      <w:r w:rsidR="00954E62">
        <w:rPr>
          <w:rFonts w:ascii="Century" w:hAnsi="Century" w:cs="Arial"/>
          <w:sz w:val="24"/>
          <w:szCs w:val="24"/>
        </w:rPr>
        <w:t>Así</w:t>
      </w:r>
      <w:r w:rsidR="00E10B41" w:rsidRPr="00E10B41">
        <w:rPr>
          <w:rFonts w:ascii="Century" w:hAnsi="Century" w:cs="Arial"/>
          <w:sz w:val="24"/>
          <w:szCs w:val="24"/>
        </w:rPr>
        <w:t>, s</w:t>
      </w:r>
      <w:r w:rsidR="00003EC0">
        <w:rPr>
          <w:rFonts w:ascii="Century" w:hAnsi="Century" w:cs="Arial"/>
          <w:sz w:val="24"/>
          <w:szCs w:val="24"/>
        </w:rPr>
        <w:t>abiendo que todavía existen grande</w:t>
      </w:r>
      <w:r w:rsidR="003126CE" w:rsidRPr="00E10B41">
        <w:rPr>
          <w:rFonts w:ascii="Century" w:hAnsi="Century" w:cs="Arial"/>
          <w:sz w:val="24"/>
          <w:szCs w:val="24"/>
        </w:rPr>
        <w:t>s diferencias en el tr</w:t>
      </w:r>
      <w:r w:rsidRPr="00E10B41">
        <w:rPr>
          <w:rFonts w:ascii="Century" w:hAnsi="Century" w:cs="Arial"/>
          <w:sz w:val="24"/>
          <w:szCs w:val="24"/>
        </w:rPr>
        <w:t>ato fiscal entre los residentes</w:t>
      </w:r>
      <w:r w:rsidR="00A541C2">
        <w:rPr>
          <w:rFonts w:ascii="Century" w:hAnsi="Century" w:cs="Arial"/>
          <w:sz w:val="24"/>
          <w:szCs w:val="24"/>
        </w:rPr>
        <w:t>,</w:t>
      </w:r>
      <w:r w:rsidRPr="00E10B41">
        <w:rPr>
          <w:rFonts w:ascii="Century" w:hAnsi="Century" w:cs="Arial"/>
          <w:sz w:val="24"/>
          <w:szCs w:val="24"/>
        </w:rPr>
        <w:t xml:space="preserve"> </w:t>
      </w:r>
      <w:r w:rsidR="003126CE" w:rsidRPr="00E10B41">
        <w:rPr>
          <w:rFonts w:ascii="Century" w:hAnsi="Century" w:cs="Arial"/>
          <w:sz w:val="24"/>
          <w:szCs w:val="24"/>
        </w:rPr>
        <w:t xml:space="preserve">hubiera </w:t>
      </w:r>
      <w:r w:rsidR="00F545DD" w:rsidRPr="00E10B41">
        <w:rPr>
          <w:rFonts w:ascii="Century" w:hAnsi="Century" w:cs="Arial"/>
          <w:sz w:val="24"/>
          <w:szCs w:val="24"/>
        </w:rPr>
        <w:t>sido</w:t>
      </w:r>
      <w:r w:rsidRPr="00E10B41">
        <w:rPr>
          <w:rFonts w:ascii="Century" w:hAnsi="Century" w:cs="Arial"/>
          <w:sz w:val="24"/>
          <w:szCs w:val="24"/>
        </w:rPr>
        <w:t xml:space="preserve"> mejor</w:t>
      </w:r>
      <w:r w:rsidR="003126CE" w:rsidRPr="00E10B41">
        <w:rPr>
          <w:rFonts w:ascii="Century" w:hAnsi="Century" w:cs="Arial"/>
          <w:sz w:val="24"/>
          <w:szCs w:val="24"/>
        </w:rPr>
        <w:t xml:space="preserve"> que el legislador hubiera aprovechado la re</w:t>
      </w:r>
      <w:r w:rsidR="00E10B41">
        <w:rPr>
          <w:rFonts w:ascii="Century" w:hAnsi="Century" w:cs="Arial"/>
          <w:sz w:val="24"/>
          <w:szCs w:val="24"/>
        </w:rPr>
        <w:t xml:space="preserve">forma para evitar diferencias </w:t>
      </w:r>
      <w:r w:rsidR="00954E62">
        <w:rPr>
          <w:rFonts w:ascii="Century" w:hAnsi="Century" w:cs="Arial"/>
          <w:sz w:val="24"/>
          <w:szCs w:val="24"/>
        </w:rPr>
        <w:t>in</w:t>
      </w:r>
      <w:r w:rsidR="003126CE" w:rsidRPr="00E10B41">
        <w:rPr>
          <w:rFonts w:ascii="Century" w:hAnsi="Century" w:cs="Arial"/>
          <w:sz w:val="24"/>
          <w:szCs w:val="24"/>
        </w:rPr>
        <w:t>justificadas tanto fuera como dentro del territorio español</w:t>
      </w:r>
      <w:r w:rsidR="00E10B41">
        <w:rPr>
          <w:rFonts w:ascii="Century" w:hAnsi="Century" w:cs="Arial"/>
          <w:sz w:val="24"/>
          <w:szCs w:val="24"/>
        </w:rPr>
        <w:t>, y</w:t>
      </w:r>
      <w:r w:rsidR="007B1A4E" w:rsidRPr="00E10B41">
        <w:rPr>
          <w:rFonts w:ascii="Century" w:hAnsi="Century" w:cs="Arial"/>
          <w:sz w:val="24"/>
          <w:szCs w:val="24"/>
        </w:rPr>
        <w:t xml:space="preserve"> </w:t>
      </w:r>
      <w:r w:rsidR="00E10B41">
        <w:rPr>
          <w:rFonts w:ascii="Century" w:hAnsi="Century" w:cs="Arial"/>
          <w:sz w:val="24"/>
          <w:szCs w:val="24"/>
        </w:rPr>
        <w:t xml:space="preserve">así </w:t>
      </w:r>
      <w:r w:rsidR="007B1A4E" w:rsidRPr="00E10B41">
        <w:rPr>
          <w:rFonts w:ascii="Century" w:hAnsi="Century" w:cs="Arial"/>
          <w:sz w:val="24"/>
          <w:szCs w:val="24"/>
        </w:rPr>
        <w:t>establecer una normativa más uniforme</w:t>
      </w:r>
      <w:r w:rsidRPr="00E10B41">
        <w:rPr>
          <w:rFonts w:ascii="Century" w:hAnsi="Century" w:cs="Arial"/>
          <w:sz w:val="24"/>
          <w:szCs w:val="24"/>
        </w:rPr>
        <w:t xml:space="preserve"> que evitara</w:t>
      </w:r>
      <w:r w:rsidR="007B1A4E" w:rsidRPr="00E10B41">
        <w:rPr>
          <w:rFonts w:ascii="Century" w:hAnsi="Century" w:cs="Arial"/>
          <w:sz w:val="24"/>
          <w:szCs w:val="24"/>
        </w:rPr>
        <w:t xml:space="preserve"> tanta problemática en el marco de las sucesiones</w:t>
      </w:r>
      <w:r w:rsidR="00E10B41">
        <w:rPr>
          <w:rFonts w:ascii="Century" w:hAnsi="Century" w:cs="Arial"/>
          <w:sz w:val="24"/>
          <w:szCs w:val="24"/>
        </w:rPr>
        <w:t xml:space="preserve">. </w:t>
      </w:r>
      <w:r w:rsidR="00E10B41" w:rsidRPr="00E10B41">
        <w:rPr>
          <w:rFonts w:ascii="Century" w:hAnsi="Century" w:cs="Arial"/>
          <w:sz w:val="24"/>
          <w:szCs w:val="24"/>
        </w:rPr>
        <w:t>Sin embargo, el legislador no ha querido, o no ha podido, de momento entrar ahí</w:t>
      </w:r>
      <w:r w:rsidR="003126CE" w:rsidRPr="00E10B41">
        <w:rPr>
          <w:rStyle w:val="Refdenotaalpie"/>
          <w:rFonts w:ascii="Century" w:hAnsi="Century" w:cs="Arial"/>
          <w:sz w:val="24"/>
          <w:szCs w:val="24"/>
        </w:rPr>
        <w:footnoteReference w:id="82"/>
      </w:r>
      <w:r w:rsidR="003126CE" w:rsidRPr="00E10B41">
        <w:rPr>
          <w:rFonts w:ascii="Century" w:hAnsi="Century" w:cs="Arial"/>
          <w:sz w:val="24"/>
          <w:szCs w:val="24"/>
        </w:rPr>
        <w:t>.</w:t>
      </w:r>
      <w:r w:rsidRPr="00E10B41">
        <w:rPr>
          <w:rFonts w:ascii="Century" w:hAnsi="Century" w:cs="Arial"/>
          <w:sz w:val="24"/>
          <w:szCs w:val="24"/>
        </w:rPr>
        <w:t xml:space="preserve"> </w:t>
      </w:r>
    </w:p>
    <w:p w:rsidR="003126CE" w:rsidRDefault="00DB56C8" w:rsidP="002D11BC">
      <w:pPr>
        <w:pStyle w:val="NormalWeb"/>
        <w:spacing w:before="0" w:beforeAutospacing="0" w:after="240" w:afterAutospacing="0" w:line="360" w:lineRule="auto"/>
        <w:ind w:left="426"/>
        <w:jc w:val="both"/>
        <w:rPr>
          <w:rFonts w:ascii="Century" w:eastAsiaTheme="minorEastAsia" w:hAnsi="Century" w:cs="Arial"/>
          <w:b/>
        </w:rPr>
      </w:pPr>
      <w:r w:rsidRPr="002C13F3">
        <w:rPr>
          <w:rFonts w:ascii="Century" w:eastAsiaTheme="minorEastAsia" w:hAnsi="Century" w:cs="Arial"/>
          <w:b/>
        </w:rPr>
        <w:t>3</w:t>
      </w:r>
      <w:r w:rsidR="00D43DF7">
        <w:rPr>
          <w:rFonts w:ascii="Century" w:eastAsiaTheme="minorEastAsia" w:hAnsi="Century" w:cs="Arial"/>
          <w:b/>
        </w:rPr>
        <w:t>.3</w:t>
      </w:r>
      <w:r w:rsidR="003126CE" w:rsidRPr="002C13F3">
        <w:rPr>
          <w:rFonts w:ascii="Century" w:eastAsiaTheme="minorEastAsia" w:hAnsi="Century" w:cs="Arial"/>
          <w:b/>
        </w:rPr>
        <w:t xml:space="preserve">. </w:t>
      </w:r>
      <w:r w:rsidRPr="002C13F3">
        <w:rPr>
          <w:rFonts w:ascii="Century" w:eastAsiaTheme="minorEastAsia" w:hAnsi="Century" w:cs="Arial"/>
          <w:b/>
        </w:rPr>
        <w:t>Situación actual y propuesta de reforma</w:t>
      </w:r>
    </w:p>
    <w:p w:rsidR="003126CE" w:rsidRDefault="00550BA7" w:rsidP="002D11BC">
      <w:pPr>
        <w:pStyle w:val="NormalWeb"/>
        <w:spacing w:before="0" w:beforeAutospacing="0" w:after="240" w:afterAutospacing="0" w:line="360" w:lineRule="auto"/>
        <w:jc w:val="both"/>
        <w:rPr>
          <w:rFonts w:ascii="Century" w:hAnsi="Century"/>
        </w:rPr>
      </w:pPr>
      <w:r>
        <w:rPr>
          <w:rFonts w:ascii="Century" w:eastAsiaTheme="minorEastAsia" w:hAnsi="Century" w:cs="Arial"/>
        </w:rPr>
        <w:tab/>
        <w:t>El panorama planteado deja muchas cuestiones sin resolver. Y así, a</w:t>
      </w:r>
      <w:r w:rsidR="00570667" w:rsidRPr="002C13F3">
        <w:rPr>
          <w:rFonts w:ascii="Century" w:hAnsi="Century"/>
        </w:rPr>
        <w:t>ctualmente</w:t>
      </w:r>
      <w:r w:rsidR="003126CE" w:rsidRPr="002C13F3">
        <w:rPr>
          <w:rFonts w:ascii="Century" w:hAnsi="Century"/>
        </w:rPr>
        <w:t xml:space="preserve"> se </w:t>
      </w:r>
      <w:r w:rsidR="00A541C2">
        <w:rPr>
          <w:rFonts w:ascii="Century" w:hAnsi="Century"/>
        </w:rPr>
        <w:t>debate</w:t>
      </w:r>
      <w:r w:rsidR="003126CE" w:rsidRPr="002C13F3">
        <w:rPr>
          <w:rFonts w:ascii="Century" w:hAnsi="Century"/>
        </w:rPr>
        <w:t xml:space="preserve"> </w:t>
      </w:r>
      <w:r w:rsidR="00570667" w:rsidRPr="002C13F3">
        <w:rPr>
          <w:rFonts w:ascii="Century" w:hAnsi="Century"/>
        </w:rPr>
        <w:t>la posible supresión d</w:t>
      </w:r>
      <w:r w:rsidR="00B07A97">
        <w:rPr>
          <w:rFonts w:ascii="Century" w:hAnsi="Century"/>
        </w:rPr>
        <w:t>el ISUC</w:t>
      </w:r>
      <w:r w:rsidR="003126CE" w:rsidRPr="002C13F3">
        <w:rPr>
          <w:rFonts w:ascii="Century" w:hAnsi="Century"/>
        </w:rPr>
        <w:t xml:space="preserve"> </w:t>
      </w:r>
      <w:r w:rsidR="00954E62">
        <w:rPr>
          <w:rFonts w:ascii="Century" w:hAnsi="Century"/>
        </w:rPr>
        <w:t>principal</w:t>
      </w:r>
      <w:r>
        <w:rPr>
          <w:rFonts w:ascii="Century" w:hAnsi="Century"/>
        </w:rPr>
        <w:t xml:space="preserve">mente por </w:t>
      </w:r>
      <w:r w:rsidR="003126CE" w:rsidRPr="002C13F3">
        <w:rPr>
          <w:rFonts w:ascii="Century" w:hAnsi="Century"/>
        </w:rPr>
        <w:t xml:space="preserve">las </w:t>
      </w:r>
      <w:r w:rsidR="00003EC0">
        <w:rPr>
          <w:rFonts w:ascii="Century" w:hAnsi="Century"/>
        </w:rPr>
        <w:t>discriminaciones</w:t>
      </w:r>
      <w:r w:rsidR="00570667" w:rsidRPr="002C13F3">
        <w:rPr>
          <w:rFonts w:ascii="Century" w:hAnsi="Century"/>
        </w:rPr>
        <w:t xml:space="preserve"> que se siguen produciendo.</w:t>
      </w:r>
      <w:r w:rsidR="00A541C2">
        <w:rPr>
          <w:rFonts w:ascii="Century" w:hAnsi="Century"/>
        </w:rPr>
        <w:t xml:space="preserve"> </w:t>
      </w:r>
      <w:r>
        <w:rPr>
          <w:rFonts w:ascii="Century" w:hAnsi="Century"/>
        </w:rPr>
        <w:t>Es cierto, s</w:t>
      </w:r>
      <w:r w:rsidR="00570667" w:rsidRPr="002C13F3">
        <w:rPr>
          <w:rFonts w:ascii="Century" w:hAnsi="Century"/>
        </w:rPr>
        <w:t>in embargo,</w:t>
      </w:r>
      <w:r>
        <w:rPr>
          <w:rFonts w:ascii="Century" w:hAnsi="Century"/>
        </w:rPr>
        <w:t xml:space="preserve"> que</w:t>
      </w:r>
      <w:r w:rsidR="00570667" w:rsidRPr="002C13F3">
        <w:rPr>
          <w:rFonts w:ascii="Century" w:hAnsi="Century"/>
        </w:rPr>
        <w:t xml:space="preserve"> ello produciría quizá problemas de disminución de la recaudación</w:t>
      </w:r>
      <w:r>
        <w:rPr>
          <w:rFonts w:ascii="Century" w:hAnsi="Century"/>
        </w:rPr>
        <w:t xml:space="preserve"> que abriría otro debate</w:t>
      </w:r>
      <w:r w:rsidR="00570667" w:rsidRPr="002C13F3">
        <w:rPr>
          <w:rFonts w:ascii="Century" w:hAnsi="Century"/>
        </w:rPr>
        <w:t>.</w:t>
      </w:r>
      <w:r>
        <w:rPr>
          <w:rFonts w:ascii="Century" w:hAnsi="Century"/>
        </w:rPr>
        <w:t xml:space="preserve"> En cualquier caso, y si</w:t>
      </w:r>
      <w:r w:rsidR="003126CE" w:rsidRPr="002C13F3">
        <w:rPr>
          <w:rFonts w:ascii="Century" w:hAnsi="Century"/>
        </w:rPr>
        <w:t xml:space="preserve"> se opta por su mantenimiento, el impuesto debería sufrir </w:t>
      </w:r>
      <w:r w:rsidR="005D10F2">
        <w:rPr>
          <w:rFonts w:ascii="Century" w:hAnsi="Century"/>
        </w:rPr>
        <w:t>otra reforma</w:t>
      </w:r>
      <w:r>
        <w:rPr>
          <w:rFonts w:ascii="Century" w:hAnsi="Century"/>
        </w:rPr>
        <w:t xml:space="preserve"> que lo hiciese </w:t>
      </w:r>
      <w:r w:rsidR="00A541C2">
        <w:rPr>
          <w:rFonts w:ascii="Century" w:hAnsi="Century"/>
        </w:rPr>
        <w:t xml:space="preserve">totalmente </w:t>
      </w:r>
      <w:r>
        <w:rPr>
          <w:rFonts w:ascii="Century" w:hAnsi="Century"/>
        </w:rPr>
        <w:t>acorde con las exigencias d</w:t>
      </w:r>
      <w:r w:rsidR="00570667" w:rsidRPr="002C13F3">
        <w:rPr>
          <w:rFonts w:ascii="Century" w:hAnsi="Century"/>
        </w:rPr>
        <w:t xml:space="preserve">el ordenamiento constitucional </w:t>
      </w:r>
      <w:r>
        <w:rPr>
          <w:rFonts w:ascii="Century" w:hAnsi="Century"/>
        </w:rPr>
        <w:t>y</w:t>
      </w:r>
      <w:r w:rsidR="003126CE" w:rsidRPr="002C13F3">
        <w:rPr>
          <w:rFonts w:ascii="Century" w:hAnsi="Century"/>
        </w:rPr>
        <w:t xml:space="preserve"> el Derecho </w:t>
      </w:r>
      <w:r w:rsidR="00A541C2">
        <w:rPr>
          <w:rFonts w:ascii="Century" w:hAnsi="Century"/>
        </w:rPr>
        <w:t>de la UE</w:t>
      </w:r>
      <w:r w:rsidR="003126CE" w:rsidRPr="002C13F3">
        <w:rPr>
          <w:rStyle w:val="Refdenotaalpie"/>
          <w:rFonts w:ascii="Century" w:hAnsi="Century"/>
        </w:rPr>
        <w:footnoteReference w:id="83"/>
      </w:r>
      <w:r w:rsidR="003126CE" w:rsidRPr="002C13F3">
        <w:rPr>
          <w:rFonts w:ascii="Century" w:hAnsi="Century"/>
        </w:rPr>
        <w:t xml:space="preserve">. </w:t>
      </w:r>
    </w:p>
    <w:p w:rsidR="004E0AA4" w:rsidRPr="002C13F3" w:rsidRDefault="004E0AA4" w:rsidP="00B95B9B">
      <w:pPr>
        <w:spacing w:after="240" w:line="360" w:lineRule="auto"/>
        <w:ind w:firstLine="708"/>
        <w:jc w:val="both"/>
        <w:rPr>
          <w:rFonts w:ascii="Century" w:hAnsi="Century"/>
          <w:sz w:val="24"/>
          <w:szCs w:val="24"/>
        </w:rPr>
      </w:pPr>
      <w:r w:rsidRPr="002C13F3">
        <w:rPr>
          <w:rFonts w:ascii="Century" w:hAnsi="Century"/>
          <w:sz w:val="24"/>
          <w:szCs w:val="24"/>
        </w:rPr>
        <w:t>El informe elaborado por la Comisión de Expertos para la reforma del sistema tributario español</w:t>
      </w:r>
      <w:r w:rsidR="00550BA7">
        <w:rPr>
          <w:rFonts w:ascii="Century" w:hAnsi="Century"/>
          <w:sz w:val="24"/>
          <w:szCs w:val="24"/>
        </w:rPr>
        <w:t>, de</w:t>
      </w:r>
      <w:r w:rsidRPr="002C13F3">
        <w:rPr>
          <w:rFonts w:ascii="Century" w:hAnsi="Century"/>
          <w:sz w:val="24"/>
          <w:szCs w:val="24"/>
        </w:rPr>
        <w:t xml:space="preserve"> 26 de febrero de 2014</w:t>
      </w:r>
      <w:r w:rsidR="00550BA7">
        <w:rPr>
          <w:rFonts w:ascii="Century" w:hAnsi="Century"/>
          <w:sz w:val="24"/>
          <w:szCs w:val="24"/>
        </w:rPr>
        <w:t>, apuesta por</w:t>
      </w:r>
      <w:r w:rsidR="00B07A97">
        <w:rPr>
          <w:rFonts w:ascii="Century" w:hAnsi="Century"/>
          <w:sz w:val="24"/>
          <w:szCs w:val="24"/>
        </w:rPr>
        <w:t xml:space="preserve"> el mantenimiento del ISUC</w:t>
      </w:r>
      <w:r w:rsidR="00550BA7">
        <w:rPr>
          <w:rFonts w:ascii="Century" w:hAnsi="Century"/>
          <w:sz w:val="24"/>
          <w:szCs w:val="24"/>
        </w:rPr>
        <w:t xml:space="preserve"> pero con</w:t>
      </w:r>
      <w:r w:rsidRPr="002C13F3">
        <w:rPr>
          <w:rFonts w:ascii="Century" w:hAnsi="Century"/>
          <w:sz w:val="24"/>
          <w:szCs w:val="24"/>
        </w:rPr>
        <w:t xml:space="preserve"> una serie de propuestas futuras de reforma, </w:t>
      </w:r>
      <w:r w:rsidR="00550BA7">
        <w:rPr>
          <w:rFonts w:ascii="Century" w:hAnsi="Century"/>
          <w:sz w:val="24"/>
          <w:szCs w:val="24"/>
        </w:rPr>
        <w:t xml:space="preserve">que permitan </w:t>
      </w:r>
      <w:r w:rsidRPr="002C13F3">
        <w:rPr>
          <w:rFonts w:ascii="Century" w:hAnsi="Century"/>
          <w:sz w:val="24"/>
          <w:szCs w:val="24"/>
        </w:rPr>
        <w:t>mejorar la igualdad en dicho sistema. En este sentido,</w:t>
      </w:r>
      <w:r w:rsidR="00550BA7">
        <w:rPr>
          <w:rFonts w:ascii="Century" w:hAnsi="Century"/>
          <w:sz w:val="24"/>
          <w:szCs w:val="24"/>
        </w:rPr>
        <w:t xml:space="preserve"> se alude a la necesidad de que</w:t>
      </w:r>
      <w:r w:rsidRPr="002C13F3">
        <w:rPr>
          <w:rFonts w:ascii="Century" w:hAnsi="Century"/>
          <w:sz w:val="24"/>
          <w:szCs w:val="24"/>
        </w:rPr>
        <w:t xml:space="preserve"> el Gobierno </w:t>
      </w:r>
      <w:r w:rsidR="00550BA7">
        <w:rPr>
          <w:rFonts w:ascii="Century" w:hAnsi="Century"/>
          <w:sz w:val="24"/>
          <w:szCs w:val="24"/>
        </w:rPr>
        <w:t xml:space="preserve">fije </w:t>
      </w:r>
      <w:r w:rsidRPr="002C13F3">
        <w:rPr>
          <w:rFonts w:ascii="Century" w:hAnsi="Century"/>
          <w:sz w:val="24"/>
          <w:szCs w:val="24"/>
        </w:rPr>
        <w:t xml:space="preserve">un único mínimo exento para todo el territorio de régimen común. Así pues, este mínimo de </w:t>
      </w:r>
      <w:r w:rsidRPr="002C13F3">
        <w:rPr>
          <w:rFonts w:ascii="Century" w:hAnsi="Century"/>
          <w:sz w:val="24"/>
          <w:szCs w:val="24"/>
        </w:rPr>
        <w:lastRenderedPageBreak/>
        <w:t xml:space="preserve">exención aportaría progresividad a la tarifa lineal de gravamen y conllevaría a que los patrimonios </w:t>
      </w:r>
      <w:r w:rsidR="00550BA7">
        <w:rPr>
          <w:rFonts w:ascii="Century" w:hAnsi="Century"/>
          <w:sz w:val="24"/>
          <w:szCs w:val="24"/>
        </w:rPr>
        <w:t>reducidos no tributasen por el</w:t>
      </w:r>
      <w:r w:rsidRPr="002C13F3">
        <w:rPr>
          <w:rFonts w:ascii="Century" w:hAnsi="Century"/>
          <w:sz w:val="24"/>
          <w:szCs w:val="24"/>
        </w:rPr>
        <w:t xml:space="preserve"> impuesto.</w:t>
      </w:r>
    </w:p>
    <w:p w:rsidR="004E0AA4" w:rsidRPr="002C13F3" w:rsidRDefault="00550BA7" w:rsidP="00B95B9B">
      <w:pPr>
        <w:spacing w:after="240" w:line="360" w:lineRule="auto"/>
        <w:ind w:firstLine="708"/>
        <w:jc w:val="both"/>
        <w:rPr>
          <w:rFonts w:ascii="Century" w:hAnsi="Century"/>
          <w:sz w:val="24"/>
          <w:szCs w:val="24"/>
        </w:rPr>
      </w:pPr>
      <w:r>
        <w:rPr>
          <w:rFonts w:ascii="Century" w:hAnsi="Century"/>
          <w:sz w:val="24"/>
          <w:szCs w:val="24"/>
        </w:rPr>
        <w:t>Se indica, así mismo que el impuesto</w:t>
      </w:r>
      <w:r w:rsidR="004E0AA4" w:rsidRPr="002C13F3">
        <w:rPr>
          <w:rFonts w:ascii="Century" w:hAnsi="Century"/>
          <w:sz w:val="24"/>
          <w:szCs w:val="24"/>
        </w:rPr>
        <w:t xml:space="preserve"> sólo tendría que disponer de tres grupos de grados de parentesco</w:t>
      </w:r>
      <w:r w:rsidR="004E0AA4" w:rsidRPr="00514069">
        <w:rPr>
          <w:rFonts w:cstheme="minorHAnsi"/>
          <w:sz w:val="24"/>
          <w:szCs w:val="24"/>
        </w:rPr>
        <w:t>:</w:t>
      </w:r>
      <w:r w:rsidR="00BD158F">
        <w:rPr>
          <w:rFonts w:ascii="Century" w:hAnsi="Century"/>
          <w:sz w:val="24"/>
          <w:szCs w:val="24"/>
        </w:rPr>
        <w:t xml:space="preserve"> el a,</w:t>
      </w:r>
      <w:r w:rsidR="004E0AA4" w:rsidRPr="002C13F3">
        <w:rPr>
          <w:rFonts w:ascii="Century" w:hAnsi="Century"/>
          <w:sz w:val="24"/>
          <w:szCs w:val="24"/>
        </w:rPr>
        <w:t xml:space="preserve"> para el cónyuge, ascendientes y descendientes por línea directa, adoptados y adoptantes</w:t>
      </w:r>
      <w:r w:rsidR="004E0AA4" w:rsidRPr="00EC29FC">
        <w:rPr>
          <w:rFonts w:cstheme="minorHAnsi"/>
          <w:sz w:val="24"/>
          <w:szCs w:val="24"/>
        </w:rPr>
        <w:t>;</w:t>
      </w:r>
      <w:r w:rsidR="004E0AA4" w:rsidRPr="002C13F3">
        <w:rPr>
          <w:rFonts w:ascii="Century" w:hAnsi="Century"/>
          <w:sz w:val="24"/>
          <w:szCs w:val="24"/>
        </w:rPr>
        <w:t xml:space="preserve"> el </w:t>
      </w:r>
      <w:r w:rsidR="00BD158F">
        <w:rPr>
          <w:rFonts w:ascii="Century" w:hAnsi="Century"/>
          <w:sz w:val="24"/>
          <w:szCs w:val="24"/>
        </w:rPr>
        <w:t>b,</w:t>
      </w:r>
      <w:r w:rsidR="004E0AA4" w:rsidRPr="002C13F3">
        <w:rPr>
          <w:rFonts w:ascii="Century" w:hAnsi="Century"/>
          <w:sz w:val="24"/>
          <w:szCs w:val="24"/>
        </w:rPr>
        <w:t xml:space="preserve"> para parientes colaterales de segundo y tercer grado y parientes por</w:t>
      </w:r>
      <w:r w:rsidR="00BD158F">
        <w:rPr>
          <w:rFonts w:ascii="Century" w:hAnsi="Century"/>
          <w:sz w:val="24"/>
          <w:szCs w:val="24"/>
        </w:rPr>
        <w:t xml:space="preserve"> afinidad hasta el tercer grado</w:t>
      </w:r>
      <w:r w:rsidR="00BD158F" w:rsidRPr="00BD158F">
        <w:rPr>
          <w:rFonts w:cstheme="minorHAnsi"/>
          <w:sz w:val="24"/>
          <w:szCs w:val="24"/>
        </w:rPr>
        <w:t>;</w:t>
      </w:r>
      <w:r w:rsidR="004E0AA4" w:rsidRPr="002C13F3">
        <w:rPr>
          <w:rFonts w:ascii="Century" w:hAnsi="Century"/>
          <w:sz w:val="24"/>
          <w:szCs w:val="24"/>
        </w:rPr>
        <w:t xml:space="preserve"> y</w:t>
      </w:r>
      <w:r w:rsidR="00BD158F">
        <w:rPr>
          <w:rFonts w:ascii="Century" w:hAnsi="Century"/>
          <w:sz w:val="24"/>
          <w:szCs w:val="24"/>
        </w:rPr>
        <w:t>,</w:t>
      </w:r>
      <w:r w:rsidR="004E0AA4" w:rsidRPr="002C13F3">
        <w:rPr>
          <w:rFonts w:ascii="Century" w:hAnsi="Century"/>
          <w:sz w:val="24"/>
          <w:szCs w:val="24"/>
        </w:rPr>
        <w:t xml:space="preserve"> el </w:t>
      </w:r>
      <w:r w:rsidR="00BD158F">
        <w:rPr>
          <w:rFonts w:ascii="Century" w:hAnsi="Century"/>
          <w:sz w:val="24"/>
          <w:szCs w:val="24"/>
        </w:rPr>
        <w:t>c</w:t>
      </w:r>
      <w:r w:rsidR="004E0AA4" w:rsidRPr="002C13F3">
        <w:rPr>
          <w:rFonts w:ascii="Century" w:hAnsi="Century"/>
          <w:sz w:val="24"/>
          <w:szCs w:val="24"/>
        </w:rPr>
        <w:t xml:space="preserve">, para cualquier persona no establecida en los anteriores grupos. </w:t>
      </w:r>
    </w:p>
    <w:p w:rsidR="004E0AA4" w:rsidRPr="002C13F3" w:rsidRDefault="004E0AA4" w:rsidP="00B95B9B">
      <w:pPr>
        <w:spacing w:after="240" w:line="360" w:lineRule="auto"/>
        <w:ind w:firstLine="708"/>
        <w:jc w:val="both"/>
        <w:rPr>
          <w:rFonts w:ascii="Century" w:hAnsi="Century"/>
          <w:b/>
          <w:sz w:val="24"/>
          <w:szCs w:val="24"/>
        </w:rPr>
      </w:pPr>
      <w:r w:rsidRPr="002C13F3">
        <w:rPr>
          <w:rFonts w:ascii="Century" w:hAnsi="Century"/>
          <w:sz w:val="24"/>
          <w:szCs w:val="24"/>
        </w:rPr>
        <w:t>Con respecto a la tarifa del impuesto</w:t>
      </w:r>
      <w:r w:rsidR="00BD158F">
        <w:rPr>
          <w:rFonts w:ascii="Century" w:hAnsi="Century"/>
          <w:sz w:val="24"/>
          <w:szCs w:val="24"/>
        </w:rPr>
        <w:t xml:space="preserve"> se propone que</w:t>
      </w:r>
      <w:r w:rsidRPr="002C13F3">
        <w:rPr>
          <w:rFonts w:ascii="Century" w:hAnsi="Century"/>
          <w:sz w:val="24"/>
          <w:szCs w:val="24"/>
        </w:rPr>
        <w:t xml:space="preserve"> ésta se aplicaría a la base liquidable (deducida de la base imponible el mínimo de exención igual para todos)</w:t>
      </w:r>
      <w:r w:rsidR="00BD158F">
        <w:rPr>
          <w:rFonts w:ascii="Century" w:hAnsi="Century"/>
          <w:sz w:val="24"/>
          <w:szCs w:val="24"/>
        </w:rPr>
        <w:t>,</w:t>
      </w:r>
      <w:r w:rsidRPr="002C13F3">
        <w:rPr>
          <w:rFonts w:ascii="Century" w:hAnsi="Century"/>
          <w:sz w:val="24"/>
          <w:szCs w:val="24"/>
        </w:rPr>
        <w:t xml:space="preserve"> y</w:t>
      </w:r>
      <w:r w:rsidR="00BD158F">
        <w:rPr>
          <w:rFonts w:ascii="Century" w:hAnsi="Century"/>
          <w:sz w:val="24"/>
          <w:szCs w:val="24"/>
        </w:rPr>
        <w:t xml:space="preserve"> que</w:t>
      </w:r>
      <w:r w:rsidRPr="002C13F3">
        <w:rPr>
          <w:rFonts w:ascii="Century" w:hAnsi="Century"/>
          <w:sz w:val="24"/>
          <w:szCs w:val="24"/>
        </w:rPr>
        <w:t xml:space="preserve"> se formaría únicamente por tres tipos de imposición</w:t>
      </w:r>
      <w:r w:rsidRPr="00514069">
        <w:rPr>
          <w:rFonts w:cstheme="minorHAnsi"/>
          <w:sz w:val="24"/>
          <w:szCs w:val="24"/>
        </w:rPr>
        <w:t>:</w:t>
      </w:r>
      <w:r w:rsidRPr="002C13F3">
        <w:rPr>
          <w:rFonts w:ascii="Century" w:hAnsi="Century"/>
          <w:sz w:val="24"/>
          <w:szCs w:val="24"/>
        </w:rPr>
        <w:t xml:space="preserve"> </w:t>
      </w:r>
      <w:r w:rsidR="00BD158F">
        <w:rPr>
          <w:rFonts w:ascii="Century" w:hAnsi="Century"/>
          <w:sz w:val="24"/>
          <w:szCs w:val="24"/>
        </w:rPr>
        <w:t xml:space="preserve">el </w:t>
      </w:r>
      <w:r w:rsidRPr="002C13F3">
        <w:rPr>
          <w:rFonts w:ascii="Century" w:hAnsi="Century"/>
          <w:sz w:val="24"/>
          <w:szCs w:val="24"/>
        </w:rPr>
        <w:t>reducido (</w:t>
      </w:r>
      <w:r w:rsidR="00BD158F">
        <w:rPr>
          <w:rFonts w:ascii="Century" w:hAnsi="Century"/>
          <w:sz w:val="24"/>
          <w:szCs w:val="24"/>
        </w:rPr>
        <w:t>del 4 al</w:t>
      </w:r>
      <w:r w:rsidRPr="002C13F3">
        <w:rPr>
          <w:rFonts w:ascii="Century" w:hAnsi="Century"/>
          <w:sz w:val="24"/>
          <w:szCs w:val="24"/>
        </w:rPr>
        <w:t xml:space="preserve"> 5 por 100), </w:t>
      </w:r>
      <w:r w:rsidR="00BD158F">
        <w:rPr>
          <w:rFonts w:ascii="Century" w:hAnsi="Century"/>
          <w:sz w:val="24"/>
          <w:szCs w:val="24"/>
        </w:rPr>
        <w:t xml:space="preserve">el </w:t>
      </w:r>
      <w:r w:rsidRPr="002C13F3">
        <w:rPr>
          <w:rFonts w:ascii="Century" w:hAnsi="Century"/>
          <w:sz w:val="24"/>
          <w:szCs w:val="24"/>
        </w:rPr>
        <w:t>medio (</w:t>
      </w:r>
      <w:r w:rsidR="00BD158F">
        <w:rPr>
          <w:rFonts w:ascii="Century" w:hAnsi="Century"/>
          <w:sz w:val="24"/>
          <w:szCs w:val="24"/>
        </w:rPr>
        <w:t>del 7 al</w:t>
      </w:r>
      <w:r w:rsidRPr="002C13F3">
        <w:rPr>
          <w:rFonts w:ascii="Century" w:hAnsi="Century"/>
          <w:sz w:val="24"/>
          <w:szCs w:val="24"/>
        </w:rPr>
        <w:t xml:space="preserve"> 8 por 100) y</w:t>
      </w:r>
      <w:r w:rsidR="00BD158F">
        <w:rPr>
          <w:rFonts w:ascii="Century" w:hAnsi="Century"/>
          <w:sz w:val="24"/>
          <w:szCs w:val="24"/>
        </w:rPr>
        <w:t xml:space="preserve"> el</w:t>
      </w:r>
      <w:r w:rsidRPr="002C13F3">
        <w:rPr>
          <w:rFonts w:ascii="Century" w:hAnsi="Century"/>
          <w:sz w:val="24"/>
          <w:szCs w:val="24"/>
        </w:rPr>
        <w:t xml:space="preserve"> elevado (</w:t>
      </w:r>
      <w:r w:rsidR="00BD158F">
        <w:rPr>
          <w:rFonts w:ascii="Century" w:hAnsi="Century"/>
          <w:sz w:val="24"/>
          <w:szCs w:val="24"/>
        </w:rPr>
        <w:t>del 10 al</w:t>
      </w:r>
      <w:r w:rsidRPr="002C13F3">
        <w:rPr>
          <w:rFonts w:ascii="Century" w:hAnsi="Century"/>
          <w:sz w:val="24"/>
          <w:szCs w:val="24"/>
        </w:rPr>
        <w:t xml:space="preserve"> 11 por 100), dando lugar a una mejora</w:t>
      </w:r>
      <w:r w:rsidR="00BD158F">
        <w:rPr>
          <w:rFonts w:ascii="Century" w:hAnsi="Century"/>
          <w:sz w:val="24"/>
          <w:szCs w:val="24"/>
        </w:rPr>
        <w:t xml:space="preserve"> y a una reducción</w:t>
      </w:r>
      <w:r w:rsidRPr="002C13F3">
        <w:rPr>
          <w:rFonts w:ascii="Century" w:hAnsi="Century"/>
          <w:sz w:val="24"/>
          <w:szCs w:val="24"/>
        </w:rPr>
        <w:t xml:space="preserve"> en la tarifa del impuesto. Estos tipos se aplicarían </w:t>
      </w:r>
      <w:r w:rsidR="00BD158F">
        <w:rPr>
          <w:rFonts w:ascii="Century" w:hAnsi="Century"/>
          <w:sz w:val="24"/>
          <w:szCs w:val="24"/>
        </w:rPr>
        <w:t>sobre el</w:t>
      </w:r>
      <w:r w:rsidRPr="002C13F3">
        <w:rPr>
          <w:rFonts w:ascii="Century" w:hAnsi="Century"/>
          <w:sz w:val="24"/>
          <w:szCs w:val="24"/>
        </w:rPr>
        <w:t xml:space="preserve"> grado de parentesco</w:t>
      </w:r>
      <w:r w:rsidR="00BD158F">
        <w:rPr>
          <w:rFonts w:ascii="Century" w:hAnsi="Century"/>
          <w:sz w:val="24"/>
          <w:szCs w:val="24"/>
        </w:rPr>
        <w:t>,</w:t>
      </w:r>
      <w:r w:rsidRPr="002C13F3">
        <w:rPr>
          <w:rFonts w:ascii="Century" w:hAnsi="Century"/>
          <w:sz w:val="24"/>
          <w:szCs w:val="24"/>
        </w:rPr>
        <w:t xml:space="preserve"> y sin vinculación a la cuantía ni al patrimonio preexistente de los herederos.</w:t>
      </w:r>
    </w:p>
    <w:p w:rsidR="004E0AA4" w:rsidRPr="002C13F3" w:rsidRDefault="004E0AA4" w:rsidP="002D11BC">
      <w:pPr>
        <w:pStyle w:val="CM57"/>
        <w:spacing w:after="240" w:line="360" w:lineRule="auto"/>
        <w:jc w:val="both"/>
        <w:rPr>
          <w:rFonts w:ascii="Century" w:hAnsi="Century"/>
          <w:color w:val="FF0000"/>
        </w:rPr>
      </w:pPr>
      <w:r w:rsidRPr="002C13F3">
        <w:rPr>
          <w:rFonts w:ascii="Century" w:hAnsi="Century"/>
          <w:color w:val="000000"/>
          <w:sz w:val="20"/>
          <w:szCs w:val="20"/>
        </w:rPr>
        <w:tab/>
      </w:r>
      <w:r w:rsidRPr="002C13F3">
        <w:rPr>
          <w:rFonts w:ascii="Century" w:hAnsi="Century" w:cstheme="minorBidi"/>
        </w:rPr>
        <w:t xml:space="preserve">Además, </w:t>
      </w:r>
      <w:r w:rsidR="000C0394">
        <w:rPr>
          <w:rFonts w:ascii="Century" w:hAnsi="Century" w:cstheme="minorBidi"/>
        </w:rPr>
        <w:t xml:space="preserve">se </w:t>
      </w:r>
      <w:r w:rsidRPr="002C13F3">
        <w:rPr>
          <w:rFonts w:ascii="Century" w:hAnsi="Century" w:cstheme="minorBidi"/>
        </w:rPr>
        <w:t>considera el mantenimiento de una serie de componentes del impuesto y la supresión de otros. En este sentido,</w:t>
      </w:r>
      <w:r w:rsidR="000C0394">
        <w:rPr>
          <w:rFonts w:ascii="Century" w:hAnsi="Century" w:cstheme="minorBidi"/>
        </w:rPr>
        <w:t xml:space="preserve"> se propone el mantenimiento de</w:t>
      </w:r>
      <w:r w:rsidRPr="002C13F3">
        <w:rPr>
          <w:rFonts w:ascii="Century" w:hAnsi="Century" w:cstheme="minorBidi"/>
        </w:rPr>
        <w:t xml:space="preserve"> la reducción por adquisición sucesiva</w:t>
      </w:r>
      <w:r w:rsidRPr="002C13F3">
        <w:rPr>
          <w:rFonts w:ascii="Century" w:hAnsi="Century"/>
          <w:color w:val="000000"/>
        </w:rPr>
        <w:t xml:space="preserve"> de bienes, con el fin de evitar un abuso de gravamen</w:t>
      </w:r>
      <w:r w:rsidR="000C0394">
        <w:rPr>
          <w:rFonts w:ascii="Century" w:hAnsi="Century"/>
          <w:color w:val="000000"/>
        </w:rPr>
        <w:t>,</w:t>
      </w:r>
      <w:r w:rsidRPr="002C13F3">
        <w:rPr>
          <w:rFonts w:ascii="Century" w:hAnsi="Century"/>
          <w:color w:val="000000"/>
        </w:rPr>
        <w:t xml:space="preserve"> y un régimen especial de reducciones para las personas con discapacidad, entre otros. Por otro lado,</w:t>
      </w:r>
      <w:r w:rsidR="000C0394">
        <w:rPr>
          <w:rFonts w:ascii="Century" w:hAnsi="Century"/>
          <w:color w:val="000000"/>
        </w:rPr>
        <w:t xml:space="preserve"> se insiste en la necesidad de eliminación de </w:t>
      </w:r>
      <w:r w:rsidRPr="002C13F3">
        <w:rPr>
          <w:rFonts w:ascii="Century" w:hAnsi="Century"/>
          <w:color w:val="000000"/>
        </w:rPr>
        <w:t>una serie de reducciones</w:t>
      </w:r>
      <w:r w:rsidRPr="00514069">
        <w:rPr>
          <w:rFonts w:asciiTheme="minorHAnsi" w:hAnsiTheme="minorHAnsi" w:cstheme="minorHAnsi"/>
          <w:color w:val="000000"/>
        </w:rPr>
        <w:t>:</w:t>
      </w:r>
      <w:r w:rsidRPr="002C13F3">
        <w:rPr>
          <w:rFonts w:ascii="Century" w:hAnsi="Century"/>
          <w:color w:val="000000"/>
        </w:rPr>
        <w:t xml:space="preserve"> como l</w:t>
      </w:r>
      <w:r w:rsidRPr="002C13F3">
        <w:rPr>
          <w:rFonts w:ascii="Century" w:hAnsi="Century"/>
        </w:rPr>
        <w:t>a reducción por adquisición de la vivienda habitual de la persona fallecida, salvo para el cónyuge supérstite</w:t>
      </w:r>
      <w:r w:rsidRPr="00EC29FC">
        <w:rPr>
          <w:rFonts w:asciiTheme="minorHAnsi" w:hAnsiTheme="minorHAnsi" w:cstheme="minorHAnsi"/>
        </w:rPr>
        <w:t>;</w:t>
      </w:r>
      <w:r w:rsidRPr="002C13F3">
        <w:rPr>
          <w:rFonts w:ascii="Century" w:hAnsi="Century"/>
        </w:rPr>
        <w:t xml:space="preserve"> las reducciones por parentesco en la base imponible, siendo sustituidas por tipos impositivos específicos y decrecientes en base a una mayor proximidad del parentesco</w:t>
      </w:r>
      <w:r w:rsidRPr="00EC29FC">
        <w:rPr>
          <w:rFonts w:asciiTheme="minorHAnsi" w:hAnsiTheme="minorHAnsi" w:cstheme="minorHAnsi"/>
        </w:rPr>
        <w:t>;</w:t>
      </w:r>
      <w:r w:rsidRPr="002C13F3">
        <w:rPr>
          <w:rFonts w:ascii="Century" w:hAnsi="Century"/>
        </w:rPr>
        <w:t xml:space="preserve"> la reducción por cantidades percibidas por contratos de seguro de vida</w:t>
      </w:r>
      <w:r w:rsidRPr="00EC29FC">
        <w:rPr>
          <w:rFonts w:asciiTheme="minorHAnsi" w:hAnsiTheme="minorHAnsi" w:cstheme="minorHAnsi"/>
        </w:rPr>
        <w:t>;</w:t>
      </w:r>
      <w:r w:rsidRPr="002C13F3">
        <w:rPr>
          <w:rFonts w:ascii="Century" w:hAnsi="Century"/>
        </w:rPr>
        <w:t xml:space="preserve"> la reducción por adquisición de bienes del</w:t>
      </w:r>
      <w:r w:rsidR="000C0394">
        <w:rPr>
          <w:rFonts w:ascii="Century" w:hAnsi="Century"/>
        </w:rPr>
        <w:t xml:space="preserve"> patrimonio histórico artístico. Todo ello,</w:t>
      </w:r>
      <w:r w:rsidRPr="002C13F3">
        <w:rPr>
          <w:rFonts w:ascii="Century" w:hAnsi="Century"/>
        </w:rPr>
        <w:t xml:space="preserve"> con el objetivo de que no sean sólo unos </w:t>
      </w:r>
      <w:r w:rsidR="004D26BB">
        <w:rPr>
          <w:rFonts w:ascii="Century" w:hAnsi="Century"/>
        </w:rPr>
        <w:t>contribuyentes</w:t>
      </w:r>
      <w:r w:rsidRPr="002C13F3">
        <w:rPr>
          <w:rFonts w:ascii="Century" w:hAnsi="Century"/>
        </w:rPr>
        <w:t xml:space="preserve"> los que </w:t>
      </w:r>
      <w:r w:rsidR="004D26BB">
        <w:rPr>
          <w:rFonts w:ascii="Century" w:hAnsi="Century"/>
        </w:rPr>
        <w:t>se beneficien</w:t>
      </w:r>
      <w:r w:rsidRPr="002C13F3">
        <w:rPr>
          <w:rFonts w:ascii="Century" w:hAnsi="Century"/>
        </w:rPr>
        <w:t xml:space="preserve"> de estas reducciones y, por tanto, mejorar la igualdad de oportunidades y la equidad del sistema. </w:t>
      </w:r>
    </w:p>
    <w:p w:rsidR="000C0394" w:rsidRDefault="004E0AA4" w:rsidP="002D11BC">
      <w:pPr>
        <w:pStyle w:val="Default"/>
        <w:spacing w:after="240" w:line="360" w:lineRule="auto"/>
        <w:jc w:val="both"/>
        <w:rPr>
          <w:rFonts w:ascii="Century" w:hAnsi="Century"/>
        </w:rPr>
      </w:pPr>
      <w:r w:rsidRPr="002C13F3">
        <w:rPr>
          <w:rFonts w:ascii="Century" w:hAnsi="Century"/>
        </w:rPr>
        <w:lastRenderedPageBreak/>
        <w:tab/>
        <w:t>Al existir diferentes normativas de las CCAA sobre el impuesto,</w:t>
      </w:r>
      <w:r w:rsidR="000C0394">
        <w:rPr>
          <w:rFonts w:ascii="Century" w:hAnsi="Century"/>
        </w:rPr>
        <w:t xml:space="preserve"> indica el Informe que,</w:t>
      </w:r>
      <w:r w:rsidRPr="002C13F3">
        <w:rPr>
          <w:rFonts w:ascii="Century" w:hAnsi="Century"/>
        </w:rPr>
        <w:t xml:space="preserve"> sería aconsejable que el Estado estableciera unos límites máximos y mínimos, para que dichas normativas pudieran moverse sin sobrepasar esos márgenes, y así las sucesiones que fueran similares no sufrieran importantes diferencias fiscales entre ellas</w:t>
      </w:r>
      <w:r w:rsidR="000C0394">
        <w:rPr>
          <w:rFonts w:ascii="Century" w:hAnsi="Century"/>
        </w:rPr>
        <w:t>. Se considera reformar</w:t>
      </w:r>
      <w:r w:rsidR="000C0394" w:rsidRPr="002C13F3">
        <w:rPr>
          <w:rFonts w:ascii="Century" w:hAnsi="Century"/>
        </w:rPr>
        <w:t xml:space="preserve"> el tipo de gravamen del impuesto para no llegar en ningún caso a una progresividad excesiva, así como analizar el supuesto de la posible eliminación de los coeficientes multiplicadores</w:t>
      </w:r>
      <w:r w:rsidRPr="002C13F3">
        <w:rPr>
          <w:rStyle w:val="Refdenotaalpie"/>
          <w:rFonts w:ascii="Century" w:hAnsi="Century"/>
        </w:rPr>
        <w:footnoteReference w:id="84"/>
      </w:r>
      <w:r w:rsidRPr="002C13F3">
        <w:rPr>
          <w:rFonts w:ascii="Century" w:hAnsi="Century"/>
        </w:rPr>
        <w:t>.</w:t>
      </w:r>
      <w:r w:rsidR="000C0394">
        <w:rPr>
          <w:rFonts w:ascii="Century" w:hAnsi="Century"/>
        </w:rPr>
        <w:t xml:space="preserve"> </w:t>
      </w:r>
    </w:p>
    <w:p w:rsidR="003126CE" w:rsidRDefault="000C0394" w:rsidP="002D11BC">
      <w:pPr>
        <w:pStyle w:val="Default"/>
        <w:spacing w:after="240" w:line="360" w:lineRule="auto"/>
        <w:jc w:val="both"/>
        <w:rPr>
          <w:rFonts w:ascii="Century" w:hAnsi="Century"/>
        </w:rPr>
      </w:pPr>
      <w:r>
        <w:rPr>
          <w:rFonts w:ascii="Century" w:hAnsi="Century"/>
        </w:rPr>
        <w:tab/>
        <w:t>Para VARONA ALABERN no debe suprimirse el impuesto, señalando además que</w:t>
      </w:r>
      <w:r w:rsidR="003126CE" w:rsidRPr="002C13F3">
        <w:rPr>
          <w:rFonts w:ascii="Century" w:hAnsi="Century"/>
        </w:rPr>
        <w:t xml:space="preserve"> un elemento importante a tener en cuenta en la reforma del impuesto es la supresión de </w:t>
      </w:r>
      <w:r>
        <w:rPr>
          <w:rFonts w:ascii="Century" w:hAnsi="Century"/>
        </w:rPr>
        <w:t xml:space="preserve">los </w:t>
      </w:r>
      <w:r w:rsidR="003126CE" w:rsidRPr="002C13F3">
        <w:rPr>
          <w:rFonts w:ascii="Century" w:hAnsi="Century"/>
        </w:rPr>
        <w:t>elevados beneficios fiscales que prácticamente hacen que no se tributen entre parientes próximos.</w:t>
      </w:r>
      <w:r>
        <w:rPr>
          <w:rFonts w:ascii="Century" w:hAnsi="Century"/>
        </w:rPr>
        <w:t xml:space="preserve"> Recalca, no obstante, que este hecho</w:t>
      </w:r>
      <w:r w:rsidR="003126CE" w:rsidRPr="002C13F3">
        <w:rPr>
          <w:rFonts w:ascii="Century" w:hAnsi="Century"/>
        </w:rPr>
        <w:t xml:space="preserve"> puede ser un inconveniente en la recaudación tributaria de las CCAA que apliquen esta decisión, </w:t>
      </w:r>
      <w:r>
        <w:rPr>
          <w:rFonts w:ascii="Century" w:hAnsi="Century"/>
        </w:rPr>
        <w:t>al ser un</w:t>
      </w:r>
      <w:r w:rsidR="003126CE" w:rsidRPr="002C13F3">
        <w:rPr>
          <w:rFonts w:ascii="Century" w:hAnsi="Century"/>
        </w:rPr>
        <w:t xml:space="preserve"> ingreso directo</w:t>
      </w:r>
      <w:r>
        <w:rPr>
          <w:rFonts w:ascii="Century" w:hAnsi="Century"/>
        </w:rPr>
        <w:t xml:space="preserve"> para</w:t>
      </w:r>
      <w:r w:rsidR="003126CE" w:rsidRPr="002C13F3">
        <w:rPr>
          <w:rFonts w:ascii="Century" w:hAnsi="Century"/>
        </w:rPr>
        <w:t xml:space="preserve"> las arcas públicas que no deberían de ignorar, siempre que grave cargas que puedan soportar los sujetos pasivos de forma razonada, y no someter a algunos a una alta presión fiscal para controlar el déficit público. </w:t>
      </w:r>
      <w:r>
        <w:rPr>
          <w:rFonts w:ascii="Century" w:hAnsi="Century"/>
        </w:rPr>
        <w:t xml:space="preserve">Así, insiste en que el </w:t>
      </w:r>
      <w:r w:rsidR="003126CE" w:rsidRPr="002C13F3">
        <w:rPr>
          <w:rFonts w:ascii="Century" w:hAnsi="Century"/>
        </w:rPr>
        <w:t xml:space="preserve">legislador debe dar un mejor tratamiento fiscal a las adquisiciones </w:t>
      </w:r>
      <w:r w:rsidR="003126CE" w:rsidRPr="002C13F3">
        <w:rPr>
          <w:rFonts w:ascii="Century" w:hAnsi="Century"/>
          <w:i/>
        </w:rPr>
        <w:t>mortis causa</w:t>
      </w:r>
      <w:r w:rsidR="004A105C" w:rsidRPr="002C13F3">
        <w:rPr>
          <w:rFonts w:ascii="Century" w:hAnsi="Century"/>
        </w:rPr>
        <w:t>,</w:t>
      </w:r>
      <w:r w:rsidR="003126CE" w:rsidRPr="002C13F3">
        <w:rPr>
          <w:rFonts w:ascii="Century" w:hAnsi="Century"/>
        </w:rPr>
        <w:t xml:space="preserve"> y ser más justo y proporcional, teniendo en cuenta</w:t>
      </w:r>
      <w:r>
        <w:rPr>
          <w:rFonts w:ascii="Century" w:hAnsi="Century"/>
        </w:rPr>
        <w:t>, no obstante,</w:t>
      </w:r>
      <w:r w:rsidR="003126CE" w:rsidRPr="002C13F3">
        <w:rPr>
          <w:rFonts w:ascii="Century" w:hAnsi="Century"/>
        </w:rPr>
        <w:t xml:space="preserve"> las situaciones de los herederos, puesto que no es lo mismo un heredero con un elevado patrimonio preexistente y una elevada renta, que otro que no tiene patrimonio ni ingresos</w:t>
      </w:r>
      <w:r w:rsidR="003126CE" w:rsidRPr="002C13F3">
        <w:rPr>
          <w:rStyle w:val="Refdenotaalpie"/>
          <w:rFonts w:ascii="Century" w:hAnsi="Century"/>
        </w:rPr>
        <w:footnoteReference w:id="85"/>
      </w:r>
      <w:r w:rsidR="003126CE" w:rsidRPr="002C13F3">
        <w:rPr>
          <w:rFonts w:ascii="Century" w:hAnsi="Century"/>
        </w:rPr>
        <w:t xml:space="preserve">. </w:t>
      </w:r>
    </w:p>
    <w:p w:rsidR="008759AE" w:rsidRPr="008759AE" w:rsidRDefault="000C0394" w:rsidP="00B95B9B">
      <w:pPr>
        <w:spacing w:after="240" w:line="360" w:lineRule="auto"/>
        <w:ind w:firstLine="708"/>
        <w:jc w:val="both"/>
        <w:rPr>
          <w:rFonts w:ascii="Century" w:hAnsi="Century"/>
          <w:sz w:val="24"/>
          <w:szCs w:val="24"/>
        </w:rPr>
      </w:pPr>
      <w:r>
        <w:rPr>
          <w:rFonts w:ascii="Century" w:hAnsi="Century"/>
          <w:sz w:val="24"/>
          <w:szCs w:val="24"/>
        </w:rPr>
        <w:t xml:space="preserve">Desde </w:t>
      </w:r>
      <w:r w:rsidR="009E111D">
        <w:rPr>
          <w:rFonts w:ascii="Century" w:hAnsi="Century"/>
          <w:sz w:val="24"/>
          <w:szCs w:val="24"/>
        </w:rPr>
        <w:t>nuestro punto de vista, una</w:t>
      </w:r>
      <w:r w:rsidR="008759AE" w:rsidRPr="008759AE">
        <w:rPr>
          <w:rFonts w:ascii="Century" w:hAnsi="Century"/>
          <w:sz w:val="24"/>
          <w:szCs w:val="24"/>
        </w:rPr>
        <w:t xml:space="preserve"> de las razones de mantener el impuesto</w:t>
      </w:r>
      <w:r w:rsidR="008759AE">
        <w:rPr>
          <w:rFonts w:ascii="Century" w:hAnsi="Century"/>
          <w:sz w:val="24"/>
          <w:szCs w:val="24"/>
        </w:rPr>
        <w:t xml:space="preserve"> y, </w:t>
      </w:r>
      <w:r w:rsidR="00EE4BBD">
        <w:rPr>
          <w:rFonts w:ascii="Century" w:hAnsi="Century"/>
          <w:sz w:val="24"/>
          <w:szCs w:val="24"/>
        </w:rPr>
        <w:t>por tanto</w:t>
      </w:r>
      <w:r w:rsidR="008759AE">
        <w:rPr>
          <w:rFonts w:ascii="Century" w:hAnsi="Century"/>
          <w:sz w:val="24"/>
          <w:szCs w:val="24"/>
        </w:rPr>
        <w:t>,</w:t>
      </w:r>
      <w:r w:rsidR="009E111D">
        <w:rPr>
          <w:rFonts w:ascii="Century" w:hAnsi="Century"/>
          <w:sz w:val="24"/>
          <w:szCs w:val="24"/>
        </w:rPr>
        <w:t xml:space="preserve"> de</w:t>
      </w:r>
      <w:r w:rsidR="008759AE">
        <w:rPr>
          <w:rFonts w:ascii="Century" w:hAnsi="Century"/>
          <w:sz w:val="24"/>
          <w:szCs w:val="24"/>
        </w:rPr>
        <w:t xml:space="preserve"> no suprimirlo,</w:t>
      </w:r>
      <w:r w:rsidR="008759AE" w:rsidRPr="008759AE">
        <w:rPr>
          <w:rFonts w:ascii="Century" w:hAnsi="Century"/>
          <w:sz w:val="24"/>
          <w:szCs w:val="24"/>
        </w:rPr>
        <w:t xml:space="preserve"> </w:t>
      </w:r>
      <w:r w:rsidR="009E111D">
        <w:rPr>
          <w:rFonts w:ascii="Century" w:hAnsi="Century"/>
          <w:sz w:val="24"/>
          <w:szCs w:val="24"/>
        </w:rPr>
        <w:t>es que</w:t>
      </w:r>
      <w:r w:rsidR="008759AE" w:rsidRPr="008759AE">
        <w:rPr>
          <w:rFonts w:ascii="Century" w:hAnsi="Century"/>
          <w:sz w:val="24"/>
          <w:szCs w:val="24"/>
        </w:rPr>
        <w:t xml:space="preserve"> la gran mayoría de los países de la UE también lo exigen, siendo únicamente diez países los que no lo contemplan. </w:t>
      </w:r>
      <w:r w:rsidR="009E111D">
        <w:rPr>
          <w:rFonts w:ascii="Century" w:hAnsi="Century"/>
          <w:sz w:val="24"/>
          <w:szCs w:val="24"/>
        </w:rPr>
        <w:t>Eso no significa, p</w:t>
      </w:r>
      <w:r w:rsidR="008759AE" w:rsidRPr="008759AE">
        <w:rPr>
          <w:rFonts w:ascii="Century" w:hAnsi="Century"/>
          <w:sz w:val="24"/>
          <w:szCs w:val="24"/>
        </w:rPr>
        <w:t>or otro lado,</w:t>
      </w:r>
      <w:r w:rsidR="009E111D">
        <w:rPr>
          <w:rFonts w:ascii="Century" w:hAnsi="Century"/>
          <w:sz w:val="24"/>
          <w:szCs w:val="24"/>
        </w:rPr>
        <w:t xml:space="preserve"> que no sea</w:t>
      </w:r>
      <w:r w:rsidR="008759AE" w:rsidRPr="008759AE">
        <w:rPr>
          <w:rFonts w:ascii="Century" w:hAnsi="Century"/>
          <w:sz w:val="24"/>
          <w:szCs w:val="24"/>
        </w:rPr>
        <w:t xml:space="preserve"> necesario fijar unas normas </w:t>
      </w:r>
      <w:r w:rsidR="009E111D">
        <w:rPr>
          <w:rFonts w:ascii="Century" w:hAnsi="Century"/>
          <w:sz w:val="24"/>
          <w:szCs w:val="24"/>
        </w:rPr>
        <w:t xml:space="preserve">uniformes </w:t>
      </w:r>
      <w:r w:rsidR="009E111D" w:rsidRPr="00B95B9B">
        <w:rPr>
          <w:rFonts w:ascii="Century" w:hAnsi="Century"/>
          <w:sz w:val="24"/>
          <w:szCs w:val="24"/>
        </w:rPr>
        <w:t>en los mínimos</w:t>
      </w:r>
      <w:r w:rsidR="009E111D">
        <w:rPr>
          <w:rFonts w:ascii="Century" w:hAnsi="Century"/>
          <w:sz w:val="24"/>
          <w:szCs w:val="24"/>
        </w:rPr>
        <w:t xml:space="preserve"> </w:t>
      </w:r>
      <w:r w:rsidR="008759AE" w:rsidRPr="008759AE">
        <w:rPr>
          <w:rFonts w:ascii="Century" w:hAnsi="Century"/>
          <w:sz w:val="24"/>
          <w:szCs w:val="24"/>
        </w:rPr>
        <w:t xml:space="preserve">aplicables a todo el territorio nacional </w:t>
      </w:r>
      <w:r w:rsidR="008759AE" w:rsidRPr="008759AE">
        <w:rPr>
          <w:rFonts w:ascii="Century" w:hAnsi="Century"/>
          <w:sz w:val="24"/>
          <w:szCs w:val="24"/>
        </w:rPr>
        <w:lastRenderedPageBreak/>
        <w:t>para calcular la cuan</w:t>
      </w:r>
      <w:r w:rsidR="009E111D">
        <w:rPr>
          <w:rFonts w:ascii="Century" w:hAnsi="Century"/>
          <w:sz w:val="24"/>
          <w:szCs w:val="24"/>
        </w:rPr>
        <w:t>ti</w:t>
      </w:r>
      <w:r w:rsidR="00B95B9B">
        <w:rPr>
          <w:rFonts w:ascii="Century" w:hAnsi="Century"/>
          <w:sz w:val="24"/>
          <w:szCs w:val="24"/>
        </w:rPr>
        <w:t>ficación de la base imponible, y</w:t>
      </w:r>
      <w:r w:rsidR="008759AE" w:rsidRPr="008759AE">
        <w:rPr>
          <w:rFonts w:ascii="Century" w:hAnsi="Century"/>
          <w:sz w:val="24"/>
          <w:szCs w:val="24"/>
        </w:rPr>
        <w:t xml:space="preserve"> así impedir las distorsiones que se producen en la actualidad. Estas normas de </w:t>
      </w:r>
      <w:r w:rsidR="009E111D">
        <w:rPr>
          <w:rFonts w:ascii="Century" w:hAnsi="Century"/>
          <w:sz w:val="24"/>
          <w:szCs w:val="24"/>
        </w:rPr>
        <w:t>cuantificación</w:t>
      </w:r>
      <w:r w:rsidR="008759AE" w:rsidRPr="008759AE">
        <w:rPr>
          <w:rFonts w:ascii="Century" w:hAnsi="Century"/>
          <w:sz w:val="24"/>
          <w:szCs w:val="24"/>
        </w:rPr>
        <w:t xml:space="preserve"> deben ser simples, objetivas y predecibles, para que los </w:t>
      </w:r>
      <w:r w:rsidR="00EE4BBD">
        <w:rPr>
          <w:rFonts w:ascii="Century" w:hAnsi="Century"/>
          <w:sz w:val="24"/>
          <w:szCs w:val="24"/>
        </w:rPr>
        <w:t>sujetos pasivos</w:t>
      </w:r>
      <w:r w:rsidR="008759AE" w:rsidRPr="008759AE">
        <w:rPr>
          <w:rFonts w:ascii="Century" w:hAnsi="Century"/>
          <w:sz w:val="24"/>
          <w:szCs w:val="24"/>
        </w:rPr>
        <w:t xml:space="preserve"> y las administraciones públicas se sientan seguros en su aplicación</w:t>
      </w:r>
      <w:r w:rsidR="008759AE" w:rsidRPr="008759AE">
        <w:rPr>
          <w:rStyle w:val="Refdenotaalpie"/>
          <w:rFonts w:ascii="Century" w:hAnsi="Century"/>
          <w:sz w:val="24"/>
          <w:szCs w:val="24"/>
        </w:rPr>
        <w:footnoteReference w:id="86"/>
      </w:r>
      <w:r w:rsidR="008759AE" w:rsidRPr="008759AE">
        <w:rPr>
          <w:rFonts w:ascii="Century" w:hAnsi="Century"/>
          <w:sz w:val="24"/>
          <w:szCs w:val="24"/>
        </w:rPr>
        <w:t>.</w:t>
      </w:r>
    </w:p>
    <w:p w:rsidR="003126CE" w:rsidRDefault="003126CE" w:rsidP="00B95B9B">
      <w:pPr>
        <w:pStyle w:val="Default"/>
        <w:spacing w:after="240" w:line="360" w:lineRule="auto"/>
        <w:ind w:firstLine="708"/>
        <w:jc w:val="both"/>
        <w:rPr>
          <w:rFonts w:ascii="Century" w:hAnsi="Century"/>
        </w:rPr>
      </w:pPr>
      <w:r w:rsidRPr="008759AE">
        <w:rPr>
          <w:rFonts w:ascii="Century" w:hAnsi="Century"/>
        </w:rPr>
        <w:t>En definitiva, se considera el mantenimiento del I</w:t>
      </w:r>
      <w:r w:rsidR="00B07A97">
        <w:rPr>
          <w:rFonts w:ascii="Century" w:hAnsi="Century"/>
        </w:rPr>
        <w:t>SUC</w:t>
      </w:r>
      <w:r w:rsidR="009E111D">
        <w:rPr>
          <w:rFonts w:ascii="Century" w:hAnsi="Century"/>
        </w:rPr>
        <w:t xml:space="preserve"> pero con una </w:t>
      </w:r>
      <w:r w:rsidRPr="008759AE">
        <w:rPr>
          <w:rFonts w:ascii="Century" w:hAnsi="Century"/>
        </w:rPr>
        <w:t>reforma</w:t>
      </w:r>
      <w:r w:rsidR="009E111D">
        <w:rPr>
          <w:rFonts w:ascii="Century" w:hAnsi="Century"/>
        </w:rPr>
        <w:t xml:space="preserve"> </w:t>
      </w:r>
      <w:r w:rsidRPr="008759AE">
        <w:rPr>
          <w:rFonts w:ascii="Century" w:hAnsi="Century"/>
        </w:rPr>
        <w:t xml:space="preserve">consistente en </w:t>
      </w:r>
      <w:r w:rsidR="009E111D">
        <w:rPr>
          <w:rFonts w:ascii="Century" w:hAnsi="Century"/>
        </w:rPr>
        <w:t>extender</w:t>
      </w:r>
      <w:r w:rsidRPr="008759AE">
        <w:rPr>
          <w:rFonts w:ascii="Century" w:hAnsi="Century"/>
        </w:rPr>
        <w:t xml:space="preserve"> los beneficios fiscales autonómicos a los contribuyentes no residentes, tal y como af</w:t>
      </w:r>
      <w:r w:rsidR="009E111D">
        <w:rPr>
          <w:rFonts w:ascii="Century" w:hAnsi="Century"/>
        </w:rPr>
        <w:t>irma la jurisprudencia del TJUE</w:t>
      </w:r>
      <w:r w:rsidRPr="008759AE">
        <w:rPr>
          <w:rFonts w:ascii="Century" w:hAnsi="Century"/>
        </w:rPr>
        <w:t xml:space="preserve">. </w:t>
      </w:r>
      <w:r w:rsidR="009E111D">
        <w:rPr>
          <w:rFonts w:ascii="Century" w:hAnsi="Century"/>
        </w:rPr>
        <w:t>En su regulación interna</w:t>
      </w:r>
      <w:r w:rsidRPr="008759AE">
        <w:rPr>
          <w:rFonts w:ascii="Century" w:hAnsi="Century"/>
        </w:rPr>
        <w:t xml:space="preserve">, es necesario establecer una mínima tributación en todo el territorio nacional, a través de una tarifa común y unos límites a los beneficios fiscales autonómicos, </w:t>
      </w:r>
      <w:r w:rsidR="009E111D">
        <w:rPr>
          <w:rFonts w:ascii="Century" w:hAnsi="Century"/>
        </w:rPr>
        <w:t>que no les impida el ejercicio de su capacidad reguladora, pero que controle las disparidades excesivas</w:t>
      </w:r>
      <w:r w:rsidRPr="008759AE">
        <w:rPr>
          <w:rStyle w:val="Refdenotaalpie"/>
          <w:rFonts w:ascii="Century" w:hAnsi="Century"/>
        </w:rPr>
        <w:footnoteReference w:id="87"/>
      </w:r>
      <w:r w:rsidRPr="008759AE">
        <w:rPr>
          <w:rFonts w:ascii="Century" w:hAnsi="Century"/>
        </w:rPr>
        <w:t>.</w:t>
      </w:r>
    </w:p>
    <w:p w:rsidR="005F4E0A" w:rsidRPr="002C13F3" w:rsidRDefault="005F4E0A" w:rsidP="002D11BC">
      <w:pPr>
        <w:pStyle w:val="Default"/>
        <w:spacing w:after="240" w:line="360" w:lineRule="auto"/>
        <w:jc w:val="both"/>
        <w:rPr>
          <w:rFonts w:ascii="Century" w:hAnsi="Century"/>
          <w:color w:val="auto"/>
        </w:rPr>
      </w:pPr>
      <w:r w:rsidRPr="008759AE">
        <w:rPr>
          <w:rFonts w:ascii="Century" w:hAnsi="Century"/>
          <w:color w:val="auto"/>
        </w:rPr>
        <w:tab/>
      </w:r>
      <w:r w:rsidR="009E111D">
        <w:rPr>
          <w:rFonts w:ascii="Century" w:hAnsi="Century"/>
          <w:color w:val="auto"/>
        </w:rPr>
        <w:t>Además, y d</w:t>
      </w:r>
      <w:r w:rsidRPr="008759AE">
        <w:rPr>
          <w:rFonts w:ascii="Century" w:hAnsi="Century"/>
          <w:color w:val="auto"/>
        </w:rPr>
        <w:t>esde el punto de vista de la pérdida de ingresos tributarios para las arcas autonómicas o estatales</w:t>
      </w:r>
      <w:r w:rsidR="009E111D">
        <w:rPr>
          <w:rFonts w:ascii="Century" w:hAnsi="Century"/>
          <w:color w:val="auto"/>
        </w:rPr>
        <w:t xml:space="preserve"> que supondría su eliminación</w:t>
      </w:r>
      <w:r w:rsidRPr="008759AE">
        <w:rPr>
          <w:rFonts w:ascii="Century" w:hAnsi="Century"/>
          <w:color w:val="auto"/>
        </w:rPr>
        <w:t xml:space="preserve">, y sabiendo que es un impuesto cuya recaudación es más baja </w:t>
      </w:r>
      <w:r w:rsidR="009E111D">
        <w:rPr>
          <w:rFonts w:ascii="Century" w:hAnsi="Century"/>
          <w:color w:val="auto"/>
        </w:rPr>
        <w:t>que, por ejemplo, las del</w:t>
      </w:r>
      <w:r w:rsidRPr="008759AE">
        <w:rPr>
          <w:rFonts w:ascii="Century" w:hAnsi="Century"/>
          <w:color w:val="auto"/>
        </w:rPr>
        <w:t xml:space="preserve"> IRPF o IVA, </w:t>
      </w:r>
      <w:r w:rsidR="009E111D">
        <w:rPr>
          <w:rFonts w:ascii="Century" w:hAnsi="Century"/>
          <w:color w:val="auto"/>
        </w:rPr>
        <w:t xml:space="preserve">podría mantenerse </w:t>
      </w:r>
      <w:r w:rsidRPr="008759AE">
        <w:rPr>
          <w:rFonts w:ascii="Century" w:hAnsi="Century"/>
          <w:color w:val="auto"/>
        </w:rPr>
        <w:t xml:space="preserve">con una tributación baja, </w:t>
      </w:r>
      <w:r w:rsidR="009E111D">
        <w:rPr>
          <w:rFonts w:ascii="Century" w:hAnsi="Century"/>
          <w:color w:val="auto"/>
        </w:rPr>
        <w:t>asegurándose</w:t>
      </w:r>
      <w:r w:rsidRPr="008759AE">
        <w:rPr>
          <w:rFonts w:ascii="Century" w:hAnsi="Century"/>
          <w:color w:val="auto"/>
        </w:rPr>
        <w:t xml:space="preserve"> una fuente de</w:t>
      </w:r>
      <w:r w:rsidR="009E111D">
        <w:rPr>
          <w:rFonts w:ascii="Century" w:hAnsi="Century"/>
          <w:color w:val="auto"/>
        </w:rPr>
        <w:t xml:space="preserve"> recaudación</w:t>
      </w:r>
      <w:r w:rsidRPr="008759AE">
        <w:rPr>
          <w:rFonts w:ascii="Century" w:hAnsi="Century"/>
          <w:color w:val="auto"/>
        </w:rPr>
        <w:t xml:space="preserve"> aunque sea mínima</w:t>
      </w:r>
      <w:r w:rsidRPr="002C13F3">
        <w:rPr>
          <w:rFonts w:ascii="Century" w:hAnsi="Century"/>
          <w:color w:val="auto"/>
        </w:rPr>
        <w:t>.</w:t>
      </w:r>
    </w:p>
    <w:p w:rsidR="005F4E0A" w:rsidRDefault="005F4E0A" w:rsidP="002D11BC">
      <w:pPr>
        <w:pStyle w:val="Default"/>
        <w:spacing w:after="240" w:line="360" w:lineRule="auto"/>
        <w:jc w:val="both"/>
        <w:rPr>
          <w:rFonts w:ascii="Century" w:hAnsi="Century"/>
          <w:b/>
        </w:rPr>
      </w:pPr>
    </w:p>
    <w:p w:rsidR="0013460A" w:rsidRDefault="0013460A" w:rsidP="002D11BC">
      <w:pPr>
        <w:pStyle w:val="Default"/>
        <w:spacing w:after="240" w:line="360" w:lineRule="auto"/>
        <w:jc w:val="both"/>
        <w:rPr>
          <w:rFonts w:ascii="Century" w:hAnsi="Century"/>
          <w:b/>
        </w:rPr>
      </w:pPr>
    </w:p>
    <w:p w:rsidR="0015667C" w:rsidRDefault="0015667C" w:rsidP="002D11BC">
      <w:pPr>
        <w:pStyle w:val="Default"/>
        <w:spacing w:after="240" w:line="360" w:lineRule="auto"/>
        <w:jc w:val="both"/>
        <w:rPr>
          <w:rFonts w:ascii="Century" w:hAnsi="Century"/>
          <w:b/>
        </w:rPr>
      </w:pPr>
    </w:p>
    <w:p w:rsidR="0015667C" w:rsidRDefault="0015667C" w:rsidP="002D11BC">
      <w:pPr>
        <w:pStyle w:val="Default"/>
        <w:spacing w:after="240" w:line="360" w:lineRule="auto"/>
        <w:jc w:val="both"/>
        <w:rPr>
          <w:rFonts w:ascii="Century" w:hAnsi="Century"/>
          <w:b/>
        </w:rPr>
      </w:pPr>
    </w:p>
    <w:p w:rsidR="0015667C" w:rsidRDefault="0015667C" w:rsidP="002D11BC">
      <w:pPr>
        <w:pStyle w:val="Default"/>
        <w:spacing w:after="240" w:line="360" w:lineRule="auto"/>
        <w:jc w:val="both"/>
        <w:rPr>
          <w:rFonts w:ascii="Century" w:hAnsi="Century"/>
          <w:b/>
        </w:rPr>
      </w:pPr>
    </w:p>
    <w:p w:rsidR="0013460A" w:rsidRPr="0013460A" w:rsidRDefault="00F87298" w:rsidP="002D11BC">
      <w:pPr>
        <w:spacing w:after="240" w:line="360" w:lineRule="auto"/>
        <w:jc w:val="both"/>
        <w:rPr>
          <w:rFonts w:ascii="Century" w:hAnsi="Century"/>
          <w:b/>
          <w:sz w:val="2"/>
          <w:szCs w:val="2"/>
          <w:u w:val="single"/>
        </w:rPr>
      </w:pPr>
      <w:r>
        <w:rPr>
          <w:rFonts w:ascii="Century" w:hAnsi="Century"/>
          <w:b/>
          <w:sz w:val="24"/>
          <w:szCs w:val="24"/>
        </w:rPr>
        <w:lastRenderedPageBreak/>
        <w:t xml:space="preserve">4. </w:t>
      </w:r>
      <w:r w:rsidRPr="00B95B9B">
        <w:rPr>
          <w:rFonts w:ascii="Century" w:hAnsi="Century"/>
          <w:b/>
          <w:sz w:val="24"/>
          <w:szCs w:val="24"/>
        </w:rPr>
        <w:t>CONCLUSIONES</w:t>
      </w:r>
    </w:p>
    <w:p w:rsidR="00CF794B" w:rsidRDefault="0016255F" w:rsidP="002D11BC">
      <w:pPr>
        <w:spacing w:after="240" w:line="360" w:lineRule="auto"/>
        <w:jc w:val="both"/>
        <w:rPr>
          <w:rFonts w:ascii="Century" w:hAnsi="Century"/>
          <w:sz w:val="24"/>
          <w:szCs w:val="24"/>
        </w:rPr>
      </w:pPr>
      <w:r>
        <w:rPr>
          <w:rFonts w:ascii="Century" w:hAnsi="Century"/>
          <w:sz w:val="24"/>
          <w:szCs w:val="24"/>
        </w:rPr>
        <w:tab/>
      </w:r>
      <w:r w:rsidR="003B2C73">
        <w:rPr>
          <w:rFonts w:ascii="Century" w:hAnsi="Century"/>
          <w:sz w:val="24"/>
          <w:szCs w:val="24"/>
        </w:rPr>
        <w:t>PRIMERA</w:t>
      </w:r>
      <w:r w:rsidR="0013460A">
        <w:rPr>
          <w:rFonts w:ascii="Century" w:hAnsi="Century"/>
          <w:b/>
          <w:sz w:val="24"/>
          <w:szCs w:val="24"/>
        </w:rPr>
        <w:t xml:space="preserve">. </w:t>
      </w:r>
      <w:r w:rsidR="0013460A" w:rsidRPr="00236C09">
        <w:rPr>
          <w:rFonts w:ascii="Century" w:hAnsi="Century"/>
          <w:sz w:val="24"/>
          <w:szCs w:val="24"/>
        </w:rPr>
        <w:t>Los EM tienen la obligación de que sus sistemas fiscales se adapten a la normativa comunitaria, con el objetivo, entre otros, de evitar sentencias contrarias a ellos.</w:t>
      </w:r>
      <w:r w:rsidR="0013460A">
        <w:rPr>
          <w:rFonts w:ascii="Century" w:hAnsi="Century"/>
          <w:sz w:val="24"/>
          <w:szCs w:val="24"/>
        </w:rPr>
        <w:t xml:space="preserve"> La Comisión ha establecido una serie de propuestas para orientar a los Estados en el cumplimiento de sus objetivos de política fiscal, además de satisfacer las obligaciones impuestas por el Derecho de la UE. </w:t>
      </w:r>
      <w:r w:rsidR="0013460A" w:rsidRPr="005E2CB9">
        <w:rPr>
          <w:rFonts w:ascii="Century" w:hAnsi="Century"/>
          <w:sz w:val="24"/>
          <w:szCs w:val="24"/>
        </w:rPr>
        <w:t xml:space="preserve">El objetivo de la Comisión </w:t>
      </w:r>
      <w:r w:rsidR="0013460A">
        <w:rPr>
          <w:rFonts w:ascii="Century" w:hAnsi="Century"/>
          <w:sz w:val="24"/>
          <w:szCs w:val="24"/>
        </w:rPr>
        <w:t xml:space="preserve">no </w:t>
      </w:r>
      <w:r w:rsidR="0013460A" w:rsidRPr="005E2CB9">
        <w:rPr>
          <w:rFonts w:ascii="Century" w:hAnsi="Century"/>
          <w:sz w:val="24"/>
          <w:szCs w:val="24"/>
        </w:rPr>
        <w:t>es conseguir</w:t>
      </w:r>
      <w:r w:rsidR="0013460A">
        <w:rPr>
          <w:rFonts w:ascii="Century" w:hAnsi="Century"/>
          <w:sz w:val="24"/>
          <w:szCs w:val="24"/>
        </w:rPr>
        <w:t xml:space="preserve"> un régimen comunitario uniforme, sino </w:t>
      </w:r>
      <w:r w:rsidR="0013460A" w:rsidRPr="005E2CB9">
        <w:rPr>
          <w:rFonts w:ascii="Century" w:hAnsi="Century"/>
          <w:sz w:val="24"/>
          <w:szCs w:val="24"/>
        </w:rPr>
        <w:t xml:space="preserve">que dichos sistemas puedan </w:t>
      </w:r>
      <w:r w:rsidR="0013460A">
        <w:rPr>
          <w:rFonts w:ascii="Century" w:hAnsi="Century"/>
          <w:sz w:val="24"/>
          <w:szCs w:val="24"/>
        </w:rPr>
        <w:t>ejercer sus competencias de forma</w:t>
      </w:r>
      <w:r w:rsidR="0013460A" w:rsidRPr="005E2CB9">
        <w:rPr>
          <w:rFonts w:ascii="Century" w:hAnsi="Century"/>
          <w:sz w:val="24"/>
          <w:szCs w:val="24"/>
        </w:rPr>
        <w:t xml:space="preserve"> conjunta sin </w:t>
      </w:r>
      <w:r w:rsidR="0013460A">
        <w:rPr>
          <w:rFonts w:ascii="Century" w:hAnsi="Century"/>
          <w:sz w:val="24"/>
          <w:szCs w:val="24"/>
        </w:rPr>
        <w:t>desavenencias para contribuir a un buen funcionamiento del mercado interior respetando el principio de libre circulación de capitales y no discriminación. Este objetivo puede alcanzarse a través de la armonización y la coordinación fiscales.</w:t>
      </w:r>
    </w:p>
    <w:p w:rsidR="00CF794B" w:rsidRDefault="00CF794B" w:rsidP="00CF794B">
      <w:pPr>
        <w:spacing w:after="240" w:line="360" w:lineRule="auto"/>
        <w:jc w:val="both"/>
        <w:rPr>
          <w:rFonts w:ascii="Century" w:hAnsi="Century"/>
          <w:sz w:val="24"/>
          <w:szCs w:val="24"/>
        </w:rPr>
      </w:pPr>
      <w:r>
        <w:rPr>
          <w:rFonts w:ascii="Century" w:hAnsi="Century"/>
          <w:sz w:val="24"/>
          <w:szCs w:val="24"/>
        </w:rPr>
        <w:tab/>
        <w:t>SEGUNDA</w:t>
      </w:r>
      <w:r w:rsidRPr="006F250B">
        <w:rPr>
          <w:rFonts w:ascii="Century" w:hAnsi="Century"/>
          <w:sz w:val="24"/>
          <w:szCs w:val="24"/>
        </w:rPr>
        <w:t xml:space="preserve">. </w:t>
      </w:r>
      <w:r>
        <w:rPr>
          <w:rFonts w:ascii="Century" w:hAnsi="Century"/>
          <w:sz w:val="24"/>
          <w:szCs w:val="24"/>
        </w:rPr>
        <w:t>La competencia fiscal en materia de sucesiones se observa desde dos puntos de vista. En primer lugar, en el ámbito interno de nuestro territorio español, dicha competencia es compartida entre el Estado y las CCAA. Si bien, el impuesto es de titularidad estatal pero el Estado cede a las mismas una serie de competencias sobre el mismo en sus propios territorios. En el ámbito externo, la competencia fiscal de este impuesto no se lleva a cabo por la UE, sino por los EM. En segundo lugar, en nuestro país, se ha producido una competencia fiscal desleal entre las CCAA, pues otorgan ventajas fiscales únicamente a los residentes de cada Comunidad. En la UE, existe una serie de normativas fiscales nacionales bien diferenciadas que conllevan a dicha competencia.</w:t>
      </w:r>
    </w:p>
    <w:p w:rsidR="00CF794B" w:rsidRDefault="00CF794B" w:rsidP="002D11BC">
      <w:pPr>
        <w:spacing w:after="240" w:line="360" w:lineRule="auto"/>
        <w:jc w:val="both"/>
        <w:rPr>
          <w:rFonts w:ascii="Century" w:hAnsi="Century"/>
          <w:sz w:val="24"/>
          <w:szCs w:val="24"/>
        </w:rPr>
      </w:pPr>
      <w:r>
        <w:rPr>
          <w:rFonts w:ascii="Century" w:hAnsi="Century"/>
          <w:sz w:val="24"/>
          <w:szCs w:val="24"/>
        </w:rPr>
        <w:tab/>
        <w:t xml:space="preserve">TERCERA. Como consecuencia de la ausencia de una legislación común en materia de sucesiones para todos los EM de la UE, se producen distorsiones entre los regímenes fiscales de los Estados que se deben mayormente a la aplicación de distintos criterios de sujeción, tipos de gravamen y beneficios fiscales. Este hecho provoca que los contribuyentes sean tratados de forma desigual dependiendo de si son o no residentes, nacionales o domiciliados en el Estado miembro en cuestión aunque las </w:t>
      </w:r>
      <w:r>
        <w:rPr>
          <w:rFonts w:ascii="Century" w:hAnsi="Century"/>
          <w:sz w:val="24"/>
          <w:szCs w:val="24"/>
        </w:rPr>
        <w:lastRenderedPageBreak/>
        <w:t xml:space="preserve">situaciones sean </w:t>
      </w:r>
      <w:r w:rsidRPr="0013460A">
        <w:rPr>
          <w:rFonts w:ascii="Century" w:hAnsi="Century"/>
          <w:sz w:val="24"/>
          <w:szCs w:val="24"/>
        </w:rPr>
        <w:t xml:space="preserve">idénticas. Se podría analizar si el establecimiento de una legislación fiscal común en materia sucesoria para todos los Estados </w:t>
      </w:r>
      <w:r>
        <w:rPr>
          <w:rFonts w:ascii="Century" w:hAnsi="Century"/>
          <w:sz w:val="24"/>
          <w:szCs w:val="24"/>
        </w:rPr>
        <w:t>implicaría enmendar</w:t>
      </w:r>
      <w:r w:rsidRPr="0013460A">
        <w:rPr>
          <w:rFonts w:ascii="Century" w:hAnsi="Century"/>
          <w:sz w:val="24"/>
          <w:szCs w:val="24"/>
        </w:rPr>
        <w:t xml:space="preserve"> todas las distorsiones ocasionadas.</w:t>
      </w:r>
    </w:p>
    <w:p w:rsidR="00626E82" w:rsidRPr="0013460A" w:rsidRDefault="0016255F" w:rsidP="002D11BC">
      <w:pPr>
        <w:spacing w:after="240" w:line="360" w:lineRule="auto"/>
        <w:jc w:val="both"/>
        <w:rPr>
          <w:rFonts w:ascii="Century" w:hAnsi="Century"/>
          <w:sz w:val="24"/>
          <w:szCs w:val="24"/>
        </w:rPr>
      </w:pPr>
      <w:r>
        <w:rPr>
          <w:rFonts w:ascii="Century" w:hAnsi="Century"/>
          <w:sz w:val="24"/>
          <w:szCs w:val="24"/>
        </w:rPr>
        <w:tab/>
      </w:r>
      <w:r w:rsidR="00CF794B">
        <w:rPr>
          <w:rFonts w:ascii="Century" w:hAnsi="Century"/>
          <w:sz w:val="24"/>
          <w:szCs w:val="24"/>
        </w:rPr>
        <w:t>CUART</w:t>
      </w:r>
      <w:r w:rsidR="0013460A">
        <w:rPr>
          <w:rFonts w:ascii="Century" w:hAnsi="Century"/>
          <w:sz w:val="24"/>
          <w:szCs w:val="24"/>
        </w:rPr>
        <w:t xml:space="preserve">A. </w:t>
      </w:r>
      <w:r w:rsidR="00CF794B">
        <w:rPr>
          <w:rFonts w:ascii="Century" w:hAnsi="Century"/>
          <w:sz w:val="24"/>
          <w:szCs w:val="24"/>
        </w:rPr>
        <w:t>En nuestro territorio nacional, e</w:t>
      </w:r>
      <w:r w:rsidR="0013460A">
        <w:rPr>
          <w:rFonts w:ascii="Century" w:hAnsi="Century"/>
          <w:sz w:val="24"/>
          <w:szCs w:val="24"/>
        </w:rPr>
        <w:t>l reconocimiento constitucional de autonomía financiera a las CCAA, basado en el principio de corresponsabilidad fiscal efectiva, para la ejecución de sus competencias ha supuesto que las mismas deben disponer de unos recursos financieros para conseguirla. Entre ellos se encuentran los impuestos cedidos por</w:t>
      </w:r>
      <w:r w:rsidR="00B07A97">
        <w:rPr>
          <w:rFonts w:ascii="Century" w:hAnsi="Century"/>
          <w:sz w:val="24"/>
          <w:szCs w:val="24"/>
        </w:rPr>
        <w:t xml:space="preserve"> el Estado, en concreto, el ISUC</w:t>
      </w:r>
      <w:r w:rsidR="0013460A">
        <w:rPr>
          <w:rFonts w:ascii="Century" w:hAnsi="Century"/>
          <w:sz w:val="24"/>
          <w:szCs w:val="24"/>
        </w:rPr>
        <w:t>.</w:t>
      </w:r>
    </w:p>
    <w:p w:rsidR="00F87298" w:rsidRDefault="0016255F" w:rsidP="002D11BC">
      <w:pPr>
        <w:spacing w:after="240" w:line="360" w:lineRule="auto"/>
        <w:jc w:val="both"/>
        <w:rPr>
          <w:rFonts w:ascii="Century" w:hAnsi="Century"/>
          <w:sz w:val="24"/>
          <w:szCs w:val="24"/>
        </w:rPr>
      </w:pPr>
      <w:r>
        <w:rPr>
          <w:rFonts w:ascii="Century" w:hAnsi="Century"/>
          <w:sz w:val="24"/>
          <w:szCs w:val="24"/>
        </w:rPr>
        <w:tab/>
      </w:r>
      <w:r w:rsidR="00CF794B">
        <w:rPr>
          <w:rFonts w:ascii="Century" w:hAnsi="Century"/>
          <w:sz w:val="24"/>
          <w:szCs w:val="24"/>
        </w:rPr>
        <w:t>QUINT</w:t>
      </w:r>
      <w:r w:rsidR="0088024F">
        <w:rPr>
          <w:rFonts w:ascii="Century" w:hAnsi="Century"/>
          <w:sz w:val="24"/>
          <w:szCs w:val="24"/>
        </w:rPr>
        <w:t>A</w:t>
      </w:r>
      <w:r w:rsidR="00F87298">
        <w:rPr>
          <w:rFonts w:ascii="Century" w:hAnsi="Century"/>
          <w:sz w:val="24"/>
          <w:szCs w:val="24"/>
        </w:rPr>
        <w:t xml:space="preserve">. </w:t>
      </w:r>
      <w:r w:rsidR="00CF794B">
        <w:rPr>
          <w:rFonts w:ascii="Century" w:hAnsi="Century"/>
          <w:sz w:val="24"/>
          <w:szCs w:val="24"/>
        </w:rPr>
        <w:t>Las</w:t>
      </w:r>
      <w:r w:rsidR="00F87298">
        <w:rPr>
          <w:rFonts w:ascii="Century" w:hAnsi="Century"/>
          <w:sz w:val="24"/>
          <w:szCs w:val="24"/>
        </w:rPr>
        <w:t xml:space="preserve"> CCAA han aprovechado la oportunidad que les ha dado el Estado en la cesi</w:t>
      </w:r>
      <w:r w:rsidR="00B07A97">
        <w:rPr>
          <w:rFonts w:ascii="Century" w:hAnsi="Century"/>
          <w:sz w:val="24"/>
          <w:szCs w:val="24"/>
        </w:rPr>
        <w:t>ón de la casi totalidad del ISUC</w:t>
      </w:r>
      <w:r w:rsidR="00F87298">
        <w:rPr>
          <w:rFonts w:ascii="Century" w:hAnsi="Century"/>
          <w:sz w:val="24"/>
          <w:szCs w:val="24"/>
        </w:rPr>
        <w:t xml:space="preserve">, aplicando su propia normativa sobre este impuesto. No obstante, al establecer cada Comunidad Autónoma sus propias legislaciones en esta materia, se han producido diferencias notorias en la aplicación del impuesto, constituyéndose reducciones, </w:t>
      </w:r>
      <w:r w:rsidR="00626E82">
        <w:rPr>
          <w:rFonts w:ascii="Century" w:hAnsi="Century"/>
          <w:sz w:val="24"/>
          <w:szCs w:val="24"/>
        </w:rPr>
        <w:t xml:space="preserve">tipos de gravamen, </w:t>
      </w:r>
      <w:r w:rsidR="00F87298">
        <w:rPr>
          <w:rFonts w:ascii="Century" w:hAnsi="Century"/>
          <w:sz w:val="24"/>
          <w:szCs w:val="24"/>
        </w:rPr>
        <w:t xml:space="preserve">deducciones y/o bonificaciones más ventajosas en unas Comunidades más que en otras, o con respecto a la legislación del Estado. De esta manera, se han originado situaciones </w:t>
      </w:r>
      <w:r w:rsidR="00626E82">
        <w:rPr>
          <w:rFonts w:ascii="Century" w:hAnsi="Century"/>
          <w:sz w:val="24"/>
          <w:szCs w:val="24"/>
        </w:rPr>
        <w:t>desiguales</w:t>
      </w:r>
      <w:r w:rsidR="00F87298">
        <w:rPr>
          <w:rFonts w:ascii="Century" w:hAnsi="Century"/>
          <w:sz w:val="24"/>
          <w:szCs w:val="24"/>
        </w:rPr>
        <w:t xml:space="preserve"> entre residentes de una Comunidad Autónoma, y no residentes de la misma, y entre residentes y no residentes del E</w:t>
      </w:r>
      <w:r w:rsidR="00626E82">
        <w:rPr>
          <w:rFonts w:ascii="Century" w:hAnsi="Century"/>
          <w:sz w:val="24"/>
          <w:szCs w:val="24"/>
        </w:rPr>
        <w:t>stado, incluso estando en una situación comparable y poseer la misma capacidad económica.</w:t>
      </w:r>
    </w:p>
    <w:p w:rsidR="00420F97" w:rsidRDefault="0016255F" w:rsidP="002D11BC">
      <w:pPr>
        <w:spacing w:after="240" w:line="360" w:lineRule="auto"/>
        <w:jc w:val="both"/>
        <w:rPr>
          <w:rFonts w:ascii="Century" w:hAnsi="Century"/>
          <w:sz w:val="24"/>
          <w:szCs w:val="24"/>
        </w:rPr>
      </w:pPr>
      <w:r>
        <w:rPr>
          <w:rFonts w:ascii="Century" w:hAnsi="Century"/>
          <w:sz w:val="24"/>
          <w:szCs w:val="24"/>
        </w:rPr>
        <w:tab/>
      </w:r>
      <w:r w:rsidR="00CF794B">
        <w:rPr>
          <w:rFonts w:ascii="Century" w:hAnsi="Century"/>
          <w:sz w:val="24"/>
          <w:szCs w:val="24"/>
        </w:rPr>
        <w:t>SEXT</w:t>
      </w:r>
      <w:r w:rsidR="00B07A97">
        <w:rPr>
          <w:rFonts w:ascii="Century" w:hAnsi="Century"/>
          <w:sz w:val="24"/>
          <w:szCs w:val="24"/>
        </w:rPr>
        <w:t>A. El ISUC</w:t>
      </w:r>
      <w:r w:rsidR="0013460A">
        <w:rPr>
          <w:rFonts w:ascii="Century" w:hAnsi="Century"/>
          <w:sz w:val="24"/>
          <w:szCs w:val="24"/>
        </w:rPr>
        <w:t xml:space="preserve"> español que finalmente tienen que abonar los herederos depende de tres factores</w:t>
      </w:r>
      <w:r w:rsidR="0013460A" w:rsidRPr="00514069">
        <w:rPr>
          <w:rFonts w:cstheme="minorHAnsi"/>
          <w:sz w:val="24"/>
          <w:szCs w:val="24"/>
        </w:rPr>
        <w:t>:</w:t>
      </w:r>
      <w:r w:rsidR="0013460A">
        <w:rPr>
          <w:rFonts w:ascii="Century" w:hAnsi="Century"/>
          <w:sz w:val="24"/>
          <w:szCs w:val="24"/>
        </w:rPr>
        <w:t xml:space="preserve"> la cantidad del caudal relicto que se hereda (a mayor cuantía, más se paga), el grado de proximidad del parentesco con el causante (cuánto más lejano, mayor es la imposición) y el patrimonio preexistente que tiene el heredero (cuanto mayor es éste, también paga más). El impuesto diferencia entre la obligación personal y la obligación real de contribuir, basándose en el criterio de la residencia. De esta manera se hace una distinción entre residentes, que tributarán por la totalidad de bienes y derechos que adquieran situados dentro y fuera del territorio español, y no residentes, que tributarán sólo por aquellos bienes y </w:t>
      </w:r>
      <w:r w:rsidR="0013460A">
        <w:rPr>
          <w:rFonts w:ascii="Century" w:hAnsi="Century"/>
          <w:sz w:val="24"/>
          <w:szCs w:val="24"/>
        </w:rPr>
        <w:lastRenderedPageBreak/>
        <w:t>derechos que adquieran situados en territorio español.</w:t>
      </w:r>
      <w:r w:rsidR="00420F97">
        <w:rPr>
          <w:rFonts w:ascii="Century" w:hAnsi="Century"/>
          <w:sz w:val="24"/>
          <w:szCs w:val="24"/>
        </w:rPr>
        <w:t xml:space="preserve"> Los residentes españoles sujetos por obligación personal que tributen en el extranjero tienen derecho a aplicar la deducción por doble imposición internacional.</w:t>
      </w:r>
    </w:p>
    <w:p w:rsidR="00CF794B" w:rsidRDefault="00CF794B" w:rsidP="002D11BC">
      <w:pPr>
        <w:spacing w:after="240" w:line="360" w:lineRule="auto"/>
        <w:jc w:val="both"/>
        <w:rPr>
          <w:rFonts w:ascii="Century" w:hAnsi="Century"/>
          <w:sz w:val="24"/>
          <w:szCs w:val="24"/>
        </w:rPr>
      </w:pPr>
      <w:r>
        <w:rPr>
          <w:rFonts w:ascii="Century" w:hAnsi="Century"/>
          <w:sz w:val="24"/>
          <w:szCs w:val="24"/>
        </w:rPr>
        <w:tab/>
      </w:r>
      <w:r>
        <w:rPr>
          <w:rFonts w:ascii="Century" w:hAnsi="Century" w:cs="Arial"/>
          <w:sz w:val="24"/>
          <w:szCs w:val="24"/>
        </w:rPr>
        <w:t>SÉPTIMA. Todos los sujetos pasivos que estén en situaciones similares deben recibir un trato igual y no ser tratados de forma menos favorable unos con respecto a otros. Así pues, tanto los Estados como las CCAA de nuestro territorio deben mantenerse imparciales en materia tributaria, eliminando sus propias normativas fiscales que establezcan restricciones a las libertades fundamentales y que finalmente deriven en una discriminación o desigualdad. Por tanto, en el caso de que diferencien situaciones que son objetivamente comparables deberán tener una justificación razonable que se base en un interés general, así como ser compatible con el texto constitucional, el ordenamiento jurídico y el Derecho de la UE.</w:t>
      </w:r>
    </w:p>
    <w:p w:rsidR="00F87298" w:rsidRDefault="00CF794B" w:rsidP="002D11BC">
      <w:pPr>
        <w:spacing w:after="240" w:line="360" w:lineRule="auto"/>
        <w:jc w:val="both"/>
        <w:rPr>
          <w:rFonts w:ascii="Century" w:eastAsia="Times New Roman" w:hAnsi="Century"/>
          <w:sz w:val="24"/>
          <w:szCs w:val="24"/>
        </w:rPr>
      </w:pPr>
      <w:r>
        <w:rPr>
          <w:rFonts w:ascii="Century" w:hAnsi="Century"/>
          <w:sz w:val="24"/>
          <w:szCs w:val="24"/>
        </w:rPr>
        <w:tab/>
      </w:r>
      <w:r>
        <w:rPr>
          <w:rFonts w:ascii="Century" w:eastAsia="Times New Roman" w:hAnsi="Century"/>
          <w:sz w:val="24"/>
          <w:szCs w:val="24"/>
        </w:rPr>
        <w:t>OCTAV</w:t>
      </w:r>
      <w:r w:rsidR="0088024F">
        <w:rPr>
          <w:rFonts w:ascii="Century" w:eastAsia="Times New Roman" w:hAnsi="Century"/>
          <w:sz w:val="24"/>
          <w:szCs w:val="24"/>
        </w:rPr>
        <w:t>A</w:t>
      </w:r>
      <w:r w:rsidR="00F87298" w:rsidRPr="004A4E77">
        <w:rPr>
          <w:rFonts w:ascii="Century" w:eastAsia="Times New Roman" w:hAnsi="Century"/>
          <w:sz w:val="24"/>
          <w:szCs w:val="24"/>
        </w:rPr>
        <w:t>.</w:t>
      </w:r>
      <w:r w:rsidR="00F87298">
        <w:rPr>
          <w:rFonts w:ascii="Century" w:eastAsia="Times New Roman" w:hAnsi="Century"/>
        </w:rPr>
        <w:t xml:space="preserve"> </w:t>
      </w:r>
      <w:r w:rsidR="00F87298">
        <w:rPr>
          <w:rFonts w:ascii="Century" w:eastAsia="Times New Roman" w:hAnsi="Century"/>
          <w:sz w:val="24"/>
          <w:szCs w:val="24"/>
        </w:rPr>
        <w:t>La justicia europea acusa al estado español del hecho de que los no residentes no pueden beneficiarse de las ventajas fiscales autonómicas, y por tanto, se les aplica una mayor imposición en materia sucesoria, siendo esto contrario a la normativa comunitaria. Por lo que ha obligado a España a modificar la LISD, con el objetivo de que todos los sujetos pasivos que</w:t>
      </w:r>
      <w:r w:rsidR="00B07A97">
        <w:rPr>
          <w:rFonts w:ascii="Century" w:eastAsia="Times New Roman" w:hAnsi="Century"/>
          <w:sz w:val="24"/>
          <w:szCs w:val="24"/>
        </w:rPr>
        <w:t xml:space="preserve"> tengan que tributar por el ISUC</w:t>
      </w:r>
      <w:r w:rsidR="00F87298">
        <w:rPr>
          <w:rFonts w:ascii="Century" w:eastAsia="Times New Roman" w:hAnsi="Century"/>
          <w:sz w:val="24"/>
          <w:szCs w:val="24"/>
        </w:rPr>
        <w:t xml:space="preserve"> puedan aplicarse las citadas ventajas fiscales, eliminando de esta manera las discriminaciones de trato.</w:t>
      </w:r>
    </w:p>
    <w:p w:rsidR="006D364F" w:rsidRPr="003B2C73" w:rsidRDefault="0016255F" w:rsidP="002D11BC">
      <w:pPr>
        <w:spacing w:after="240" w:line="360" w:lineRule="auto"/>
        <w:jc w:val="both"/>
        <w:rPr>
          <w:rFonts w:ascii="Century" w:hAnsi="Century"/>
          <w:sz w:val="24"/>
          <w:szCs w:val="24"/>
        </w:rPr>
      </w:pPr>
      <w:r>
        <w:rPr>
          <w:rFonts w:ascii="Century" w:hAnsi="Century"/>
          <w:sz w:val="24"/>
          <w:szCs w:val="24"/>
        </w:rPr>
        <w:tab/>
      </w:r>
      <w:r w:rsidR="00CF794B">
        <w:rPr>
          <w:rFonts w:ascii="Century" w:hAnsi="Century"/>
          <w:sz w:val="24"/>
          <w:szCs w:val="24"/>
        </w:rPr>
        <w:t>NOVEN</w:t>
      </w:r>
      <w:r w:rsidR="006D364F">
        <w:rPr>
          <w:rFonts w:ascii="Century" w:hAnsi="Century"/>
          <w:sz w:val="24"/>
          <w:szCs w:val="24"/>
        </w:rPr>
        <w:t>A. Tras la STJUE de 2014, e</w:t>
      </w:r>
      <w:r w:rsidR="006D364F" w:rsidRPr="0061690A">
        <w:rPr>
          <w:rFonts w:ascii="Century" w:hAnsi="Century" w:cs="Arial"/>
          <w:sz w:val="24"/>
          <w:szCs w:val="24"/>
        </w:rPr>
        <w:t>l estado español tiene que devolver los ingresos indebidos de aquellos obligados tributarios no residentes que se han visto afec</w:t>
      </w:r>
      <w:r w:rsidR="00B07A97">
        <w:rPr>
          <w:rFonts w:ascii="Century" w:hAnsi="Century" w:cs="Arial"/>
          <w:sz w:val="24"/>
          <w:szCs w:val="24"/>
        </w:rPr>
        <w:t>tados por la imposición del ISUC</w:t>
      </w:r>
      <w:r w:rsidR="006D364F" w:rsidRPr="0061690A">
        <w:rPr>
          <w:rFonts w:ascii="Century" w:hAnsi="Century" w:cs="Arial"/>
          <w:sz w:val="24"/>
          <w:szCs w:val="24"/>
        </w:rPr>
        <w:t>.</w:t>
      </w:r>
      <w:r w:rsidR="006D364F">
        <w:rPr>
          <w:rFonts w:ascii="Century" w:hAnsi="Century" w:cs="Arial"/>
          <w:sz w:val="24"/>
          <w:szCs w:val="24"/>
        </w:rPr>
        <w:t xml:space="preserve"> P</w:t>
      </w:r>
      <w:r w:rsidR="00F4314D">
        <w:rPr>
          <w:rFonts w:ascii="Century" w:hAnsi="Century" w:cs="Arial"/>
          <w:sz w:val="24"/>
          <w:szCs w:val="24"/>
        </w:rPr>
        <w:t>ara ello,</w:t>
      </w:r>
      <w:r w:rsidR="006D364F">
        <w:rPr>
          <w:rFonts w:ascii="Century" w:hAnsi="Century" w:cs="Arial"/>
          <w:sz w:val="24"/>
          <w:szCs w:val="24"/>
        </w:rPr>
        <w:t xml:space="preserve"> el contribuyente tiene derecho a solicitar la devolución del impuesto ingresado en su día indebidamente mediante las correspondientes liquidaciones, siempre que no hayan transcurrido más de cuatro años desde que se liquidó el impuesto.</w:t>
      </w:r>
    </w:p>
    <w:p w:rsidR="00626E82" w:rsidRPr="0013460A" w:rsidRDefault="0016255F" w:rsidP="002D11BC">
      <w:pPr>
        <w:spacing w:after="240" w:line="360" w:lineRule="auto"/>
        <w:jc w:val="both"/>
        <w:rPr>
          <w:rFonts w:ascii="Century" w:hAnsi="Century"/>
          <w:sz w:val="24"/>
          <w:szCs w:val="24"/>
        </w:rPr>
      </w:pPr>
      <w:r>
        <w:rPr>
          <w:rFonts w:ascii="Century" w:hAnsi="Century"/>
          <w:sz w:val="24"/>
          <w:szCs w:val="24"/>
        </w:rPr>
        <w:tab/>
      </w:r>
    </w:p>
    <w:p w:rsidR="00F87298" w:rsidRDefault="0016255F" w:rsidP="002D11BC">
      <w:pPr>
        <w:spacing w:after="240" w:line="360" w:lineRule="auto"/>
        <w:jc w:val="both"/>
        <w:rPr>
          <w:rFonts w:ascii="Century" w:hAnsi="Century" w:cs="Arial"/>
          <w:sz w:val="24"/>
          <w:szCs w:val="24"/>
        </w:rPr>
      </w:pPr>
      <w:r>
        <w:rPr>
          <w:rFonts w:ascii="Century" w:hAnsi="Century" w:cs="Arial"/>
          <w:sz w:val="24"/>
          <w:szCs w:val="24"/>
        </w:rPr>
        <w:lastRenderedPageBreak/>
        <w:tab/>
      </w:r>
      <w:r w:rsidR="00544DC2">
        <w:rPr>
          <w:rFonts w:ascii="Century" w:hAnsi="Century" w:cs="Arial"/>
          <w:sz w:val="24"/>
          <w:szCs w:val="24"/>
        </w:rPr>
        <w:t>DÉCIMA. El Gobierno español ha modificado su normativa en materia sucesoria con el fin último de que los no residentes puedan tributar de la misma manera que los residentes. Para ello, se han establecido dos nuevos puntos de conexión mediante los cuales se les puede aplicar la legislación autonómica a los no residentes. No obstante, esta modificación no resuelve los problemas planteados, e incluso puede generar nuevas discriminaciones.</w:t>
      </w:r>
    </w:p>
    <w:p w:rsidR="00825A39" w:rsidRDefault="0016255F" w:rsidP="002D11BC">
      <w:pPr>
        <w:spacing w:after="240" w:line="360" w:lineRule="auto"/>
        <w:jc w:val="both"/>
        <w:rPr>
          <w:rFonts w:ascii="Century" w:hAnsi="Century" w:cs="Arial"/>
          <w:color w:val="00B0F0"/>
          <w:sz w:val="24"/>
          <w:szCs w:val="24"/>
        </w:rPr>
      </w:pPr>
      <w:r>
        <w:rPr>
          <w:rFonts w:ascii="Century" w:hAnsi="Century" w:cs="Arial"/>
          <w:sz w:val="24"/>
          <w:szCs w:val="24"/>
        </w:rPr>
        <w:tab/>
      </w:r>
      <w:r w:rsidR="00825A39">
        <w:rPr>
          <w:rFonts w:ascii="Century" w:hAnsi="Century" w:cs="Arial"/>
          <w:sz w:val="24"/>
          <w:szCs w:val="24"/>
        </w:rPr>
        <w:t xml:space="preserve">UNDÉCIMA. El </w:t>
      </w:r>
      <w:r w:rsidR="00B07A97">
        <w:rPr>
          <w:rFonts w:ascii="Century" w:hAnsi="Century" w:cs="Arial"/>
          <w:sz w:val="24"/>
          <w:szCs w:val="24"/>
        </w:rPr>
        <w:t>ISUC</w:t>
      </w:r>
      <w:r w:rsidR="00825A39">
        <w:rPr>
          <w:rFonts w:ascii="Century" w:hAnsi="Century" w:cs="Arial"/>
          <w:sz w:val="24"/>
          <w:szCs w:val="24"/>
        </w:rPr>
        <w:t xml:space="preserve"> adolece de una reforma profunda</w:t>
      </w:r>
      <w:r w:rsidR="005D10F2">
        <w:rPr>
          <w:rFonts w:ascii="Century" w:hAnsi="Century" w:cs="Arial"/>
          <w:sz w:val="24"/>
          <w:szCs w:val="24"/>
        </w:rPr>
        <w:t xml:space="preserve"> que permita mejorar </w:t>
      </w:r>
      <w:r w:rsidR="006C7913">
        <w:rPr>
          <w:rFonts w:ascii="Century" w:hAnsi="Century" w:cs="Arial"/>
          <w:sz w:val="24"/>
          <w:szCs w:val="24"/>
        </w:rPr>
        <w:t>el trato fiscal dado a los contribuyentes</w:t>
      </w:r>
      <w:r w:rsidR="005D10F2">
        <w:rPr>
          <w:rFonts w:ascii="Century" w:hAnsi="Century" w:cs="Arial"/>
          <w:sz w:val="24"/>
          <w:szCs w:val="24"/>
        </w:rPr>
        <w:t xml:space="preserve"> en el sistema tributario español</w:t>
      </w:r>
      <w:r w:rsidR="003B2C73">
        <w:rPr>
          <w:rFonts w:ascii="Century" w:hAnsi="Century" w:cs="Arial"/>
          <w:sz w:val="24"/>
          <w:szCs w:val="24"/>
        </w:rPr>
        <w:t xml:space="preserve"> y evitar alarmantes disparidades fiscales observadas entre distintas regiones que no conducen más que a generar fuentes de confrontación.</w:t>
      </w:r>
      <w:r w:rsidR="00825A39">
        <w:rPr>
          <w:rFonts w:ascii="Century" w:hAnsi="Century" w:cs="Arial"/>
          <w:sz w:val="24"/>
          <w:szCs w:val="24"/>
        </w:rPr>
        <w:t xml:space="preserve"> </w:t>
      </w:r>
      <w:r w:rsidR="00171E31">
        <w:rPr>
          <w:rFonts w:ascii="Century" w:hAnsi="Century" w:cs="Arial"/>
          <w:sz w:val="24"/>
          <w:szCs w:val="24"/>
        </w:rPr>
        <w:t>Debe ser más equitativo y proporcional, considerando las situaciones de los herederos. Si bien, e</w:t>
      </w:r>
      <w:r w:rsidR="00825A39">
        <w:rPr>
          <w:rFonts w:ascii="Century" w:hAnsi="Century" w:cs="Arial"/>
          <w:sz w:val="24"/>
          <w:szCs w:val="24"/>
        </w:rPr>
        <w:t xml:space="preserve">s necesario el establecimiento de unos límites a las capacidades normativas de las CCAA, de manera que se garantice una mínima tributación a nivel nacional, permitiendo al tributo cumplir sus funciones. </w:t>
      </w:r>
    </w:p>
    <w:p w:rsidR="00825A39" w:rsidRDefault="00825A39" w:rsidP="002D11BC">
      <w:pPr>
        <w:spacing w:after="240" w:line="360" w:lineRule="auto"/>
        <w:jc w:val="both"/>
        <w:rPr>
          <w:color w:val="92D050"/>
        </w:rPr>
      </w:pPr>
    </w:p>
    <w:p w:rsidR="003B2C73" w:rsidRDefault="003B2C73" w:rsidP="002D11BC">
      <w:pPr>
        <w:spacing w:after="240" w:line="360" w:lineRule="auto"/>
        <w:jc w:val="both"/>
        <w:rPr>
          <w:color w:val="92D050"/>
        </w:rPr>
      </w:pPr>
    </w:p>
    <w:p w:rsidR="003B2C73" w:rsidRDefault="003B2C73" w:rsidP="002D11BC">
      <w:pPr>
        <w:spacing w:after="240" w:line="360" w:lineRule="auto"/>
        <w:jc w:val="both"/>
        <w:rPr>
          <w:color w:val="92D050"/>
        </w:rPr>
      </w:pPr>
    </w:p>
    <w:p w:rsidR="003B2C73" w:rsidRDefault="003B2C73" w:rsidP="002D11BC">
      <w:pPr>
        <w:spacing w:after="240" w:line="360" w:lineRule="auto"/>
        <w:jc w:val="both"/>
        <w:rPr>
          <w:color w:val="92D050"/>
        </w:rPr>
      </w:pPr>
    </w:p>
    <w:p w:rsidR="003B2C73" w:rsidRDefault="003B2C73" w:rsidP="002D11BC">
      <w:pPr>
        <w:spacing w:after="240" w:line="360" w:lineRule="auto"/>
        <w:jc w:val="both"/>
        <w:rPr>
          <w:color w:val="92D050"/>
        </w:rPr>
      </w:pPr>
    </w:p>
    <w:p w:rsidR="003B2C73" w:rsidRDefault="003B2C73" w:rsidP="002D11BC">
      <w:pPr>
        <w:spacing w:after="240" w:line="360" w:lineRule="auto"/>
        <w:jc w:val="both"/>
        <w:rPr>
          <w:color w:val="92D050"/>
        </w:rPr>
      </w:pPr>
    </w:p>
    <w:p w:rsidR="003B2C73" w:rsidRDefault="003B2C73" w:rsidP="002D11BC">
      <w:pPr>
        <w:spacing w:after="240" w:line="360" w:lineRule="auto"/>
        <w:jc w:val="both"/>
        <w:rPr>
          <w:rFonts w:ascii="Century" w:hAnsi="Century" w:cs="Arial"/>
          <w:color w:val="00B0F0"/>
          <w:sz w:val="24"/>
          <w:szCs w:val="24"/>
        </w:rPr>
      </w:pPr>
    </w:p>
    <w:p w:rsidR="00F87298" w:rsidRDefault="00F87298" w:rsidP="002D11BC">
      <w:pPr>
        <w:pStyle w:val="Default"/>
        <w:spacing w:after="240" w:line="360" w:lineRule="auto"/>
        <w:jc w:val="both"/>
        <w:rPr>
          <w:rFonts w:ascii="Century" w:eastAsia="Times New Roman" w:hAnsi="Century"/>
          <w:color w:val="auto"/>
          <w:lang w:eastAsia="es-ES"/>
        </w:rPr>
      </w:pPr>
    </w:p>
    <w:p w:rsidR="00825A39" w:rsidRDefault="00825A39" w:rsidP="002D11BC">
      <w:pPr>
        <w:pStyle w:val="Default"/>
        <w:spacing w:after="240" w:line="360" w:lineRule="auto"/>
        <w:jc w:val="both"/>
        <w:rPr>
          <w:rFonts w:ascii="Century" w:eastAsia="Times New Roman" w:hAnsi="Century"/>
          <w:color w:val="auto"/>
          <w:lang w:eastAsia="es-ES"/>
        </w:rPr>
      </w:pPr>
    </w:p>
    <w:p w:rsidR="00825A39" w:rsidRDefault="00825A39" w:rsidP="002D11BC">
      <w:pPr>
        <w:pStyle w:val="Default"/>
        <w:spacing w:after="240" w:line="360" w:lineRule="auto"/>
        <w:jc w:val="both"/>
        <w:rPr>
          <w:rFonts w:ascii="Century" w:eastAsia="Times New Roman" w:hAnsi="Century"/>
          <w:color w:val="auto"/>
          <w:lang w:eastAsia="es-ES"/>
        </w:rPr>
      </w:pPr>
    </w:p>
    <w:p w:rsidR="00994D4C" w:rsidRPr="0016255F" w:rsidRDefault="00994D4C" w:rsidP="0016255F">
      <w:pPr>
        <w:spacing w:after="240" w:line="360" w:lineRule="auto"/>
        <w:jc w:val="both"/>
        <w:rPr>
          <w:rFonts w:cstheme="minorHAnsi"/>
          <w:b/>
          <w:sz w:val="24"/>
          <w:szCs w:val="24"/>
        </w:rPr>
      </w:pPr>
      <w:r w:rsidRPr="00F87298">
        <w:rPr>
          <w:rFonts w:ascii="Century" w:hAnsi="Century"/>
          <w:b/>
          <w:sz w:val="24"/>
          <w:szCs w:val="24"/>
        </w:rPr>
        <w:lastRenderedPageBreak/>
        <w:t xml:space="preserve">5. </w:t>
      </w:r>
      <w:r w:rsidRPr="00B95B9B">
        <w:rPr>
          <w:rFonts w:ascii="Century" w:hAnsi="Century"/>
          <w:b/>
          <w:sz w:val="24"/>
          <w:szCs w:val="24"/>
        </w:rPr>
        <w:t>BIBLIOGRAFÍA</w:t>
      </w:r>
    </w:p>
    <w:p w:rsidR="00994D4C" w:rsidRDefault="00994D4C" w:rsidP="0016255F">
      <w:pPr>
        <w:pStyle w:val="Prrafodelista"/>
        <w:numPr>
          <w:ilvl w:val="0"/>
          <w:numId w:val="15"/>
        </w:numPr>
        <w:tabs>
          <w:tab w:val="left" w:pos="567"/>
        </w:tabs>
        <w:spacing w:before="240" w:after="240" w:line="360" w:lineRule="auto"/>
        <w:ind w:left="284" w:firstLine="0"/>
        <w:jc w:val="both"/>
        <w:rPr>
          <w:rFonts w:ascii="Century" w:hAnsi="Century"/>
          <w:sz w:val="24"/>
          <w:szCs w:val="24"/>
        </w:rPr>
      </w:pPr>
      <w:r w:rsidRPr="00F67785">
        <w:rPr>
          <w:rFonts w:ascii="Century" w:hAnsi="Century"/>
          <w:sz w:val="24"/>
          <w:szCs w:val="24"/>
        </w:rPr>
        <w:t xml:space="preserve">ÁLVAREZ GARCÍA, S, APARICIO PÉREZ, A y GONZÁLEZ </w:t>
      </w:r>
      <w:proofErr w:type="spellStart"/>
      <w:r w:rsidRPr="00F67785">
        <w:rPr>
          <w:rFonts w:ascii="Century" w:hAnsi="Century"/>
          <w:sz w:val="24"/>
          <w:szCs w:val="24"/>
        </w:rPr>
        <w:t>GONZÁLEZ</w:t>
      </w:r>
      <w:proofErr w:type="spellEnd"/>
      <w:r w:rsidRPr="00F67785">
        <w:rPr>
          <w:rFonts w:ascii="Century" w:hAnsi="Century"/>
          <w:sz w:val="24"/>
          <w:szCs w:val="24"/>
        </w:rPr>
        <w:t>, A. I</w:t>
      </w:r>
      <w:r w:rsidRPr="00514069">
        <w:rPr>
          <w:rFonts w:cstheme="minorHAnsi"/>
          <w:sz w:val="24"/>
          <w:szCs w:val="24"/>
        </w:rPr>
        <w:t>:</w:t>
      </w:r>
      <w:r w:rsidRPr="00F67785">
        <w:rPr>
          <w:rFonts w:ascii="Century" w:hAnsi="Century"/>
          <w:sz w:val="24"/>
          <w:szCs w:val="24"/>
        </w:rPr>
        <w:t xml:space="preserve"> “La autonomía tributaria de las Comunidades Autónomas de Régimen Común”, </w:t>
      </w:r>
      <w:r w:rsidRPr="00F67785">
        <w:rPr>
          <w:rFonts w:ascii="Century" w:hAnsi="Century"/>
          <w:i/>
          <w:sz w:val="24"/>
          <w:szCs w:val="24"/>
        </w:rPr>
        <w:t>Instituto de Estudios Fiscales</w:t>
      </w:r>
      <w:r w:rsidRPr="00F67785">
        <w:rPr>
          <w:rFonts w:ascii="Century" w:hAnsi="Century"/>
          <w:sz w:val="24"/>
          <w:szCs w:val="24"/>
        </w:rPr>
        <w:t>, nº 20, 2004</w:t>
      </w:r>
      <w:r>
        <w:rPr>
          <w:rFonts w:cstheme="minorHAnsi"/>
          <w:sz w:val="24"/>
          <w:szCs w:val="24"/>
        </w:rPr>
        <w:t>.</w:t>
      </w:r>
    </w:p>
    <w:p w:rsidR="00994D4C" w:rsidRPr="008550FB" w:rsidRDefault="00994D4C" w:rsidP="0016255F">
      <w:pPr>
        <w:pStyle w:val="Prrafodelista"/>
        <w:tabs>
          <w:tab w:val="left" w:pos="567"/>
        </w:tabs>
        <w:spacing w:before="240" w:after="240" w:line="360" w:lineRule="auto"/>
        <w:ind w:left="284"/>
        <w:jc w:val="both"/>
        <w:rPr>
          <w:rFonts w:ascii="Century" w:hAnsi="Century"/>
          <w:sz w:val="10"/>
          <w:szCs w:val="10"/>
        </w:rPr>
      </w:pPr>
    </w:p>
    <w:p w:rsidR="00994D4C" w:rsidRDefault="00994D4C" w:rsidP="0016255F">
      <w:pPr>
        <w:pStyle w:val="Prrafodelista"/>
        <w:numPr>
          <w:ilvl w:val="0"/>
          <w:numId w:val="15"/>
        </w:numPr>
        <w:tabs>
          <w:tab w:val="left" w:pos="567"/>
        </w:tabs>
        <w:spacing w:before="240" w:after="240" w:line="360" w:lineRule="auto"/>
        <w:ind w:left="284" w:firstLine="0"/>
        <w:jc w:val="both"/>
        <w:rPr>
          <w:rFonts w:ascii="Century" w:hAnsi="Century"/>
          <w:sz w:val="24"/>
          <w:szCs w:val="24"/>
        </w:rPr>
      </w:pPr>
      <w:r w:rsidRPr="00F67785">
        <w:rPr>
          <w:rFonts w:ascii="Century" w:hAnsi="Century" w:cs="Optima"/>
          <w:sz w:val="24"/>
          <w:szCs w:val="24"/>
        </w:rPr>
        <w:t xml:space="preserve">BAKER &amp; </w:t>
      </w:r>
      <w:proofErr w:type="spellStart"/>
      <w:r w:rsidRPr="00F67785">
        <w:rPr>
          <w:rFonts w:ascii="Century" w:hAnsi="Century" w:cs="Optima"/>
          <w:sz w:val="24"/>
          <w:szCs w:val="24"/>
        </w:rPr>
        <w:t>McKENZIE</w:t>
      </w:r>
      <w:proofErr w:type="spellEnd"/>
      <w:r w:rsidRPr="00514069">
        <w:rPr>
          <w:rFonts w:cstheme="minorHAnsi"/>
          <w:sz w:val="24"/>
          <w:szCs w:val="24"/>
        </w:rPr>
        <w:t>:</w:t>
      </w:r>
      <w:r w:rsidRPr="00F67785">
        <w:rPr>
          <w:rFonts w:ascii="Century" w:hAnsi="Century" w:cs="Optima"/>
          <w:sz w:val="24"/>
          <w:szCs w:val="24"/>
        </w:rPr>
        <w:t xml:space="preserve"> </w:t>
      </w:r>
      <w:r w:rsidRPr="00F67785">
        <w:rPr>
          <w:rFonts w:ascii="Century" w:hAnsi="Century"/>
          <w:i/>
          <w:sz w:val="24"/>
          <w:szCs w:val="24"/>
        </w:rPr>
        <w:t>Propuestas para la reforma de los impuestos sobre el Patrimonio y sobre Sucesiones y Donaciones en España</w:t>
      </w:r>
      <w:r w:rsidRPr="00F67785">
        <w:rPr>
          <w:rFonts w:ascii="Century" w:hAnsi="Century"/>
          <w:sz w:val="24"/>
          <w:szCs w:val="24"/>
        </w:rPr>
        <w:t>,  Ed. Fundación Impuestos y Competitividad, Madrid, 2015.</w:t>
      </w:r>
    </w:p>
    <w:p w:rsidR="00994D4C" w:rsidRPr="008550FB" w:rsidRDefault="00994D4C" w:rsidP="0016255F">
      <w:pPr>
        <w:pStyle w:val="Prrafodelista"/>
        <w:tabs>
          <w:tab w:val="left" w:pos="567"/>
        </w:tabs>
        <w:spacing w:before="240" w:after="240" w:line="360" w:lineRule="auto"/>
        <w:ind w:left="284"/>
        <w:jc w:val="both"/>
        <w:rPr>
          <w:rFonts w:ascii="Century" w:hAnsi="Century"/>
          <w:sz w:val="10"/>
          <w:szCs w:val="10"/>
        </w:rPr>
      </w:pPr>
    </w:p>
    <w:p w:rsidR="00994D4C" w:rsidRPr="00F67785" w:rsidRDefault="00994D4C" w:rsidP="0016255F">
      <w:pPr>
        <w:pStyle w:val="Prrafodelista"/>
        <w:numPr>
          <w:ilvl w:val="0"/>
          <w:numId w:val="15"/>
        </w:numPr>
        <w:tabs>
          <w:tab w:val="left" w:pos="567"/>
        </w:tabs>
        <w:spacing w:before="240" w:after="240" w:line="360" w:lineRule="auto"/>
        <w:ind w:left="284" w:firstLine="0"/>
        <w:jc w:val="both"/>
        <w:rPr>
          <w:rFonts w:ascii="Century" w:hAnsi="Century"/>
          <w:sz w:val="24"/>
          <w:szCs w:val="24"/>
        </w:rPr>
      </w:pPr>
      <w:r w:rsidRPr="00F67785">
        <w:rPr>
          <w:rFonts w:ascii="Century" w:hAnsi="Century"/>
          <w:sz w:val="24"/>
          <w:szCs w:val="24"/>
        </w:rPr>
        <w:t>BARBERÁN LAHUERTA, M. A</w:t>
      </w:r>
      <w:r w:rsidRPr="00514069">
        <w:rPr>
          <w:rFonts w:cstheme="minorHAnsi"/>
          <w:sz w:val="24"/>
          <w:szCs w:val="24"/>
        </w:rPr>
        <w:t>:</w:t>
      </w:r>
      <w:r w:rsidRPr="00F67785">
        <w:rPr>
          <w:rFonts w:ascii="Century" w:hAnsi="Century"/>
          <w:sz w:val="24"/>
          <w:szCs w:val="24"/>
        </w:rPr>
        <w:t xml:space="preserve"> “El comportamiento del Impuesto sobre Sucesiones y Donaciones ante los principios básicos de la imposición”, </w:t>
      </w:r>
      <w:r w:rsidRPr="00F67785">
        <w:rPr>
          <w:rFonts w:ascii="Century" w:hAnsi="Century"/>
          <w:i/>
          <w:sz w:val="24"/>
          <w:szCs w:val="24"/>
        </w:rPr>
        <w:t>Revista Asturiana de Economía</w:t>
      </w:r>
      <w:r>
        <w:rPr>
          <w:rFonts w:ascii="Century" w:hAnsi="Century"/>
          <w:sz w:val="24"/>
          <w:szCs w:val="24"/>
        </w:rPr>
        <w:t xml:space="preserve">, </w:t>
      </w:r>
      <w:r w:rsidRPr="00F67785">
        <w:rPr>
          <w:rFonts w:ascii="Century" w:hAnsi="Century"/>
          <w:sz w:val="24"/>
          <w:szCs w:val="24"/>
        </w:rPr>
        <w:t>nº 32, 2005.</w:t>
      </w:r>
    </w:p>
    <w:p w:rsidR="00994D4C" w:rsidRPr="006A75BB" w:rsidRDefault="00994D4C" w:rsidP="0016255F">
      <w:pPr>
        <w:pStyle w:val="Prrafodelista"/>
        <w:tabs>
          <w:tab w:val="left" w:pos="567"/>
        </w:tabs>
        <w:spacing w:before="240" w:after="240" w:line="360" w:lineRule="auto"/>
        <w:ind w:left="284"/>
        <w:jc w:val="both"/>
        <w:rPr>
          <w:rStyle w:val="CitaHTML"/>
          <w:rFonts w:ascii="Century" w:hAnsi="Century"/>
          <w:i w:val="0"/>
          <w:sz w:val="20"/>
          <w:szCs w:val="20"/>
        </w:rPr>
      </w:pPr>
      <w:r w:rsidRPr="006A75BB">
        <w:rPr>
          <w:rStyle w:val="CitaHTML"/>
          <w:rFonts w:ascii="Century" w:hAnsi="Century"/>
          <w:sz w:val="20"/>
          <w:szCs w:val="20"/>
          <w:u w:val="single"/>
        </w:rPr>
        <w:t>www.revistaasturianadeeconomia.org/raepdf/32/barberanRae32.pdf</w:t>
      </w:r>
    </w:p>
    <w:p w:rsidR="00994D4C" w:rsidRPr="008550FB" w:rsidRDefault="00994D4C" w:rsidP="0016255F">
      <w:pPr>
        <w:pStyle w:val="Prrafodelista"/>
        <w:tabs>
          <w:tab w:val="left" w:pos="567"/>
        </w:tabs>
        <w:spacing w:before="240" w:after="240" w:line="360" w:lineRule="auto"/>
        <w:ind w:left="284"/>
        <w:jc w:val="both"/>
        <w:rPr>
          <w:rFonts w:ascii="Century" w:hAnsi="Century"/>
          <w:iCs/>
          <w:sz w:val="10"/>
          <w:szCs w:val="10"/>
        </w:rPr>
      </w:pPr>
    </w:p>
    <w:p w:rsidR="00994D4C" w:rsidRDefault="00994D4C" w:rsidP="0016255F">
      <w:pPr>
        <w:pStyle w:val="Prrafodelista"/>
        <w:numPr>
          <w:ilvl w:val="0"/>
          <w:numId w:val="15"/>
        </w:numPr>
        <w:tabs>
          <w:tab w:val="left" w:pos="567"/>
        </w:tabs>
        <w:spacing w:before="240" w:after="240" w:line="360" w:lineRule="auto"/>
        <w:ind w:left="284" w:firstLine="0"/>
        <w:jc w:val="both"/>
        <w:rPr>
          <w:rFonts w:ascii="Century" w:hAnsi="Century"/>
          <w:sz w:val="24"/>
          <w:szCs w:val="24"/>
        </w:rPr>
      </w:pPr>
      <w:r w:rsidRPr="00F67785">
        <w:rPr>
          <w:rFonts w:ascii="Century" w:hAnsi="Century" w:cs="Arial"/>
          <w:bCs/>
          <w:color w:val="000000"/>
          <w:sz w:val="24"/>
          <w:szCs w:val="24"/>
        </w:rPr>
        <w:t>BARBERENA BELZUNCE, I y MENÉNDEZ GARCÍA, G</w:t>
      </w:r>
      <w:r w:rsidRPr="00514069">
        <w:rPr>
          <w:rFonts w:cstheme="minorHAnsi"/>
          <w:bCs/>
          <w:color w:val="000000"/>
          <w:sz w:val="24"/>
          <w:szCs w:val="24"/>
        </w:rPr>
        <w:t>:</w:t>
      </w:r>
      <w:r w:rsidRPr="00F67785">
        <w:rPr>
          <w:rFonts w:ascii="Century" w:hAnsi="Century" w:cs="Arial"/>
          <w:bCs/>
          <w:color w:val="000000"/>
          <w:sz w:val="24"/>
          <w:szCs w:val="24"/>
        </w:rPr>
        <w:t xml:space="preserve"> “</w:t>
      </w:r>
      <w:r w:rsidRPr="00F67785">
        <w:rPr>
          <w:rFonts w:ascii="Century" w:hAnsi="Century"/>
          <w:sz w:val="24"/>
          <w:szCs w:val="24"/>
        </w:rPr>
        <w:t>Los tributos de las Comunidades Autónomas”, Ed. Aranzadi, online, 2015.</w:t>
      </w:r>
    </w:p>
    <w:p w:rsidR="00994D4C" w:rsidRPr="008550FB" w:rsidRDefault="00994D4C" w:rsidP="0016255F">
      <w:pPr>
        <w:pStyle w:val="Prrafodelista"/>
        <w:tabs>
          <w:tab w:val="left" w:pos="567"/>
        </w:tabs>
        <w:spacing w:before="240" w:after="240" w:line="360" w:lineRule="auto"/>
        <w:ind w:left="284"/>
        <w:jc w:val="both"/>
        <w:rPr>
          <w:rFonts w:ascii="Century" w:hAnsi="Century"/>
          <w:sz w:val="10"/>
          <w:szCs w:val="10"/>
        </w:rPr>
      </w:pPr>
    </w:p>
    <w:p w:rsidR="00994D4C" w:rsidRPr="006F62F0" w:rsidRDefault="00994D4C" w:rsidP="0016255F">
      <w:pPr>
        <w:pStyle w:val="Prrafodelista"/>
        <w:numPr>
          <w:ilvl w:val="0"/>
          <w:numId w:val="15"/>
        </w:numPr>
        <w:tabs>
          <w:tab w:val="left" w:pos="567"/>
        </w:tabs>
        <w:spacing w:before="240" w:after="240" w:line="360" w:lineRule="auto"/>
        <w:ind w:left="284" w:firstLine="0"/>
        <w:jc w:val="both"/>
        <w:rPr>
          <w:rFonts w:ascii="Century" w:hAnsi="Century"/>
          <w:sz w:val="24"/>
          <w:szCs w:val="24"/>
        </w:rPr>
      </w:pPr>
      <w:r w:rsidRPr="00F67785">
        <w:rPr>
          <w:rFonts w:ascii="Century" w:hAnsi="Century"/>
          <w:sz w:val="24"/>
          <w:szCs w:val="24"/>
        </w:rPr>
        <w:t>BARCIELA PÉREZ, J.A</w:t>
      </w:r>
      <w:r w:rsidRPr="00514069">
        <w:rPr>
          <w:rFonts w:cstheme="minorHAnsi"/>
          <w:sz w:val="24"/>
          <w:szCs w:val="24"/>
        </w:rPr>
        <w:t>:</w:t>
      </w:r>
      <w:r w:rsidRPr="00F67785">
        <w:rPr>
          <w:rFonts w:ascii="Century" w:hAnsi="Century"/>
          <w:sz w:val="24"/>
          <w:szCs w:val="24"/>
        </w:rPr>
        <w:t xml:space="preserve"> “El Impuesto sobre Sucesiones y Donaciones y la libre circulación de capitales”, </w:t>
      </w:r>
      <w:r w:rsidRPr="00F67785">
        <w:rPr>
          <w:rFonts w:ascii="Century" w:hAnsi="Century"/>
          <w:i/>
          <w:sz w:val="24"/>
          <w:szCs w:val="24"/>
        </w:rPr>
        <w:t>Quincena Fiscal,</w:t>
      </w:r>
      <w:r>
        <w:rPr>
          <w:rFonts w:ascii="Century" w:hAnsi="Century"/>
          <w:sz w:val="24"/>
          <w:szCs w:val="24"/>
        </w:rPr>
        <w:t xml:space="preserve"> nº6,</w:t>
      </w:r>
      <w:r w:rsidRPr="00F67785">
        <w:rPr>
          <w:rFonts w:ascii="Century" w:hAnsi="Century"/>
          <w:sz w:val="24"/>
          <w:szCs w:val="24"/>
        </w:rPr>
        <w:t xml:space="preserve"> 2015.</w:t>
      </w:r>
    </w:p>
    <w:p w:rsidR="00994D4C" w:rsidRPr="008550FB" w:rsidRDefault="00994D4C" w:rsidP="0016255F">
      <w:pPr>
        <w:pStyle w:val="Prrafodelista"/>
        <w:tabs>
          <w:tab w:val="left" w:pos="567"/>
        </w:tabs>
        <w:spacing w:before="240" w:after="240" w:line="360" w:lineRule="auto"/>
        <w:ind w:left="284"/>
        <w:jc w:val="both"/>
        <w:rPr>
          <w:rFonts w:ascii="Century" w:hAnsi="Century"/>
          <w:sz w:val="10"/>
          <w:szCs w:val="10"/>
        </w:rPr>
      </w:pPr>
    </w:p>
    <w:p w:rsidR="00994D4C" w:rsidRPr="00F67785" w:rsidRDefault="00994D4C" w:rsidP="0016255F">
      <w:pPr>
        <w:pStyle w:val="Prrafodelista"/>
        <w:numPr>
          <w:ilvl w:val="0"/>
          <w:numId w:val="15"/>
        </w:numPr>
        <w:tabs>
          <w:tab w:val="left" w:pos="567"/>
        </w:tabs>
        <w:spacing w:before="240" w:after="240" w:line="360" w:lineRule="auto"/>
        <w:ind w:left="284" w:firstLine="0"/>
        <w:jc w:val="both"/>
        <w:rPr>
          <w:rFonts w:ascii="Century" w:hAnsi="Century"/>
          <w:sz w:val="24"/>
          <w:szCs w:val="24"/>
        </w:rPr>
      </w:pPr>
      <w:r w:rsidRPr="00F67785">
        <w:rPr>
          <w:rFonts w:ascii="Century" w:hAnsi="Century"/>
          <w:sz w:val="24"/>
          <w:szCs w:val="24"/>
        </w:rPr>
        <w:t>BONELL COLMENERO, R</w:t>
      </w:r>
      <w:r w:rsidRPr="00514069">
        <w:rPr>
          <w:rFonts w:cstheme="minorHAnsi"/>
          <w:sz w:val="24"/>
          <w:szCs w:val="24"/>
        </w:rPr>
        <w:t>:</w:t>
      </w:r>
      <w:r w:rsidRPr="00F67785">
        <w:rPr>
          <w:rFonts w:ascii="Century" w:hAnsi="Century"/>
          <w:sz w:val="24"/>
          <w:szCs w:val="24"/>
        </w:rPr>
        <w:t xml:space="preserve"> “Principio de igualdad y deber de contribuir”, </w:t>
      </w:r>
      <w:r w:rsidRPr="00F67785">
        <w:rPr>
          <w:rFonts w:ascii="Century" w:hAnsi="Century"/>
          <w:i/>
          <w:sz w:val="24"/>
          <w:szCs w:val="24"/>
        </w:rPr>
        <w:t>Anuario Jurídico y Económico Escurialense, XXXVIII</w:t>
      </w:r>
      <w:r w:rsidRPr="00F67785">
        <w:rPr>
          <w:rFonts w:ascii="Century" w:hAnsi="Century"/>
          <w:sz w:val="24"/>
          <w:szCs w:val="24"/>
        </w:rPr>
        <w:t>, 2005.</w:t>
      </w:r>
    </w:p>
    <w:p w:rsidR="00994D4C" w:rsidRPr="006A75BB" w:rsidRDefault="00994D4C" w:rsidP="0016255F">
      <w:pPr>
        <w:pStyle w:val="Prrafodelista"/>
        <w:tabs>
          <w:tab w:val="left" w:pos="567"/>
        </w:tabs>
        <w:spacing w:before="240" w:after="240" w:line="360" w:lineRule="auto"/>
        <w:ind w:left="284"/>
        <w:jc w:val="both"/>
        <w:rPr>
          <w:rStyle w:val="CitaHTML"/>
          <w:rFonts w:ascii="Century" w:hAnsi="Century"/>
          <w:i w:val="0"/>
          <w:sz w:val="20"/>
          <w:szCs w:val="20"/>
        </w:rPr>
      </w:pPr>
      <w:r w:rsidRPr="006A75BB">
        <w:rPr>
          <w:rStyle w:val="CitaHTML"/>
          <w:rFonts w:ascii="Century" w:hAnsi="Century"/>
          <w:sz w:val="20"/>
          <w:szCs w:val="20"/>
          <w:u w:val="single"/>
        </w:rPr>
        <w:t>https</w:t>
      </w:r>
      <w:r w:rsidRPr="006A75BB">
        <w:rPr>
          <w:rStyle w:val="CitaHTML"/>
          <w:rFonts w:cstheme="minorHAnsi"/>
          <w:sz w:val="20"/>
          <w:szCs w:val="20"/>
          <w:u w:val="single"/>
        </w:rPr>
        <w:t>:</w:t>
      </w:r>
      <w:r w:rsidRPr="006A75BB">
        <w:rPr>
          <w:rStyle w:val="CitaHTML"/>
          <w:rFonts w:ascii="Century" w:hAnsi="Century"/>
          <w:sz w:val="20"/>
          <w:szCs w:val="20"/>
          <w:u w:val="single"/>
        </w:rPr>
        <w:t>//dialnet.unirioja.es/descarga/articulo/1143011.pdf</w:t>
      </w:r>
    </w:p>
    <w:p w:rsidR="00994D4C" w:rsidRPr="008550FB" w:rsidRDefault="00994D4C" w:rsidP="0016255F">
      <w:pPr>
        <w:pStyle w:val="Prrafodelista"/>
        <w:tabs>
          <w:tab w:val="left" w:pos="567"/>
        </w:tabs>
        <w:spacing w:before="240" w:after="240" w:line="360" w:lineRule="auto"/>
        <w:ind w:left="284"/>
        <w:jc w:val="both"/>
        <w:rPr>
          <w:rStyle w:val="CitaHTML"/>
          <w:rFonts w:ascii="Century" w:hAnsi="Century"/>
          <w:i w:val="0"/>
          <w:sz w:val="10"/>
          <w:szCs w:val="10"/>
        </w:rPr>
      </w:pPr>
    </w:p>
    <w:p w:rsidR="00994D4C" w:rsidRPr="00F67785" w:rsidRDefault="00994D4C" w:rsidP="0016255F">
      <w:pPr>
        <w:pStyle w:val="Prrafodelista"/>
        <w:numPr>
          <w:ilvl w:val="0"/>
          <w:numId w:val="15"/>
        </w:numPr>
        <w:tabs>
          <w:tab w:val="left" w:pos="567"/>
        </w:tabs>
        <w:spacing w:before="240" w:after="240" w:line="360" w:lineRule="auto"/>
        <w:ind w:left="284" w:firstLine="0"/>
        <w:jc w:val="both"/>
        <w:rPr>
          <w:rFonts w:ascii="Century" w:hAnsi="Century" w:cs="Arial"/>
          <w:sz w:val="24"/>
          <w:szCs w:val="24"/>
        </w:rPr>
      </w:pPr>
      <w:r w:rsidRPr="00F67785">
        <w:rPr>
          <w:rFonts w:ascii="Century" w:hAnsi="Century" w:cs="Arial"/>
          <w:sz w:val="24"/>
          <w:szCs w:val="24"/>
        </w:rPr>
        <w:t>BORRÁS A y PELISÉ, C</w:t>
      </w:r>
      <w:r w:rsidRPr="00514069">
        <w:rPr>
          <w:rFonts w:cstheme="minorHAnsi"/>
          <w:sz w:val="24"/>
          <w:szCs w:val="24"/>
        </w:rPr>
        <w:t>:</w:t>
      </w:r>
      <w:r w:rsidRPr="00F67785">
        <w:rPr>
          <w:rFonts w:ascii="Century" w:hAnsi="Century" w:cs="Arial"/>
          <w:sz w:val="24"/>
          <w:szCs w:val="24"/>
        </w:rPr>
        <w:t xml:space="preserve"> “Jurisprudencia del Tribunal de Justicia de la Unión Europea”, </w:t>
      </w:r>
      <w:r w:rsidRPr="00F67785">
        <w:rPr>
          <w:rFonts w:ascii="Century" w:hAnsi="Century" w:cs="Arial"/>
          <w:i/>
          <w:sz w:val="24"/>
          <w:szCs w:val="24"/>
        </w:rPr>
        <w:t>Revista jurídica de Catalunya</w:t>
      </w:r>
      <w:r w:rsidRPr="00F67785">
        <w:rPr>
          <w:rFonts w:ascii="Century" w:hAnsi="Century" w:cs="Arial"/>
          <w:sz w:val="24"/>
          <w:szCs w:val="24"/>
        </w:rPr>
        <w:t>, nº1, Barcelona, 2015.</w:t>
      </w:r>
    </w:p>
    <w:p w:rsidR="00994D4C" w:rsidRPr="00994D4C" w:rsidRDefault="00357B07" w:rsidP="0016255F">
      <w:pPr>
        <w:pStyle w:val="Prrafodelista"/>
        <w:tabs>
          <w:tab w:val="left" w:pos="567"/>
        </w:tabs>
        <w:spacing w:before="240" w:after="240" w:line="360" w:lineRule="auto"/>
        <w:ind w:left="284"/>
        <w:jc w:val="both"/>
        <w:rPr>
          <w:rFonts w:ascii="Century" w:hAnsi="Century"/>
          <w:sz w:val="20"/>
          <w:szCs w:val="20"/>
        </w:rPr>
      </w:pPr>
      <w:hyperlink r:id="rId13" w:history="1">
        <w:r w:rsidR="00994D4C" w:rsidRPr="00994D4C">
          <w:rPr>
            <w:rStyle w:val="Hipervnculo"/>
            <w:rFonts w:ascii="Century" w:hAnsi="Century"/>
            <w:i/>
            <w:color w:val="auto"/>
            <w:sz w:val="20"/>
            <w:szCs w:val="20"/>
          </w:rPr>
          <w:t>http</w:t>
        </w:r>
        <w:r w:rsidR="00994D4C" w:rsidRPr="00994D4C">
          <w:rPr>
            <w:rStyle w:val="Hipervnculo"/>
            <w:rFonts w:ascii="Century" w:hAnsi="Century" w:cstheme="minorHAnsi"/>
            <w:i/>
            <w:color w:val="auto"/>
            <w:sz w:val="20"/>
            <w:szCs w:val="20"/>
          </w:rPr>
          <w:t>:</w:t>
        </w:r>
        <w:r w:rsidR="00994D4C" w:rsidRPr="00994D4C">
          <w:rPr>
            <w:rStyle w:val="Hipervnculo"/>
            <w:rFonts w:ascii="Century" w:hAnsi="Century"/>
            <w:i/>
            <w:color w:val="auto"/>
            <w:sz w:val="20"/>
            <w:szCs w:val="20"/>
          </w:rPr>
          <w:t>//www.economistjurist.es/wp-content/uploads/sites/2/2015/05/JURISPRUDENCIA-DEL-TRIBUNAL-DE-JUSTICIA-DE-LA-UNI%C3%93N-EUROPEA-por-Alegr%C3%ADa-Borr%C3%A1s.pdf</w:t>
        </w:r>
      </w:hyperlink>
    </w:p>
    <w:p w:rsidR="00994D4C" w:rsidRPr="008550FB" w:rsidRDefault="00994D4C" w:rsidP="0016255F">
      <w:pPr>
        <w:pStyle w:val="Prrafodelista"/>
        <w:tabs>
          <w:tab w:val="left" w:pos="567"/>
        </w:tabs>
        <w:spacing w:before="240" w:after="240" w:line="360" w:lineRule="auto"/>
        <w:ind w:left="284"/>
        <w:jc w:val="both"/>
        <w:rPr>
          <w:rFonts w:ascii="Century" w:hAnsi="Century"/>
          <w:sz w:val="10"/>
          <w:szCs w:val="10"/>
        </w:rPr>
      </w:pPr>
    </w:p>
    <w:p w:rsidR="00994D4C" w:rsidRDefault="00994D4C" w:rsidP="0016255F">
      <w:pPr>
        <w:pStyle w:val="Prrafodelista"/>
        <w:numPr>
          <w:ilvl w:val="0"/>
          <w:numId w:val="15"/>
        </w:numPr>
        <w:tabs>
          <w:tab w:val="left" w:pos="567"/>
        </w:tabs>
        <w:spacing w:before="240" w:after="240" w:line="360" w:lineRule="auto"/>
        <w:ind w:left="284" w:firstLine="0"/>
        <w:jc w:val="both"/>
        <w:rPr>
          <w:rFonts w:ascii="Century" w:hAnsi="Century" w:cs="Arial"/>
          <w:sz w:val="24"/>
          <w:szCs w:val="24"/>
        </w:rPr>
      </w:pPr>
      <w:r w:rsidRPr="00F67785">
        <w:rPr>
          <w:rFonts w:ascii="Century" w:hAnsi="Century" w:cs="Arial"/>
          <w:sz w:val="24"/>
          <w:szCs w:val="24"/>
        </w:rPr>
        <w:t>CALVO VÉRGEZ, J</w:t>
      </w:r>
      <w:r w:rsidRPr="00514069">
        <w:rPr>
          <w:rFonts w:cstheme="minorHAnsi"/>
          <w:sz w:val="24"/>
          <w:szCs w:val="24"/>
        </w:rPr>
        <w:t>:</w:t>
      </w:r>
      <w:r w:rsidRPr="00F67785">
        <w:rPr>
          <w:rFonts w:ascii="Century" w:hAnsi="Century" w:cs="Arial"/>
          <w:sz w:val="24"/>
          <w:szCs w:val="24"/>
        </w:rPr>
        <w:t xml:space="preserve"> “En torno a las recientes tensiones jurisdiccionales surgidas en el ámbito del ISD a las puertas de una reforma del impuesto”, </w:t>
      </w:r>
      <w:r w:rsidRPr="00F67785">
        <w:rPr>
          <w:rFonts w:ascii="Century" w:hAnsi="Century" w:cs="Arial"/>
          <w:i/>
          <w:sz w:val="24"/>
          <w:szCs w:val="24"/>
        </w:rPr>
        <w:t>Quincena Fiscal</w:t>
      </w:r>
      <w:r>
        <w:rPr>
          <w:rFonts w:ascii="Century" w:hAnsi="Century" w:cs="Arial"/>
          <w:sz w:val="24"/>
          <w:szCs w:val="24"/>
        </w:rPr>
        <w:t>, nº 5</w:t>
      </w:r>
      <w:r w:rsidRPr="00F67785">
        <w:rPr>
          <w:rFonts w:ascii="Century" w:hAnsi="Century" w:cs="Arial"/>
          <w:sz w:val="24"/>
          <w:szCs w:val="24"/>
        </w:rPr>
        <w:t>, 2015.</w:t>
      </w:r>
    </w:p>
    <w:p w:rsidR="0016255F" w:rsidRPr="00A34AEE" w:rsidRDefault="00994D4C" w:rsidP="00A34AEE">
      <w:pPr>
        <w:pStyle w:val="Prrafodelista"/>
        <w:numPr>
          <w:ilvl w:val="0"/>
          <w:numId w:val="15"/>
        </w:numPr>
        <w:tabs>
          <w:tab w:val="left" w:pos="567"/>
        </w:tabs>
        <w:spacing w:before="240" w:after="240" w:line="360" w:lineRule="auto"/>
        <w:ind w:left="284" w:firstLine="0"/>
        <w:jc w:val="both"/>
        <w:rPr>
          <w:rFonts w:ascii="Century" w:hAnsi="Century" w:cs="Arial"/>
          <w:sz w:val="24"/>
          <w:szCs w:val="24"/>
        </w:rPr>
      </w:pPr>
      <w:r w:rsidRPr="00A34AEE">
        <w:rPr>
          <w:rFonts w:ascii="Century" w:hAnsi="Century"/>
          <w:sz w:val="24"/>
          <w:szCs w:val="24"/>
        </w:rPr>
        <w:lastRenderedPageBreak/>
        <w:t>CÁMARA BARROSO, M.C</w:t>
      </w:r>
      <w:r w:rsidRPr="00A34AEE">
        <w:rPr>
          <w:rFonts w:cstheme="minorHAnsi"/>
          <w:sz w:val="24"/>
          <w:szCs w:val="24"/>
        </w:rPr>
        <w:t>:</w:t>
      </w:r>
      <w:r w:rsidRPr="00A34AEE">
        <w:rPr>
          <w:rFonts w:ascii="Century" w:hAnsi="Century"/>
          <w:sz w:val="24"/>
          <w:szCs w:val="24"/>
        </w:rPr>
        <w:t xml:space="preserve"> “Imposición indirecta, Unión Europea y </w:t>
      </w:r>
      <w:proofErr w:type="spellStart"/>
      <w:r w:rsidRPr="00A34AEE">
        <w:rPr>
          <w:rFonts w:ascii="Century" w:hAnsi="Century"/>
          <w:sz w:val="24"/>
          <w:szCs w:val="24"/>
        </w:rPr>
        <w:t>extrafiscalidad</w:t>
      </w:r>
      <w:proofErr w:type="spellEnd"/>
      <w:r w:rsidRPr="00A34AEE">
        <w:rPr>
          <w:rFonts w:ascii="Century" w:hAnsi="Century"/>
          <w:sz w:val="24"/>
          <w:szCs w:val="24"/>
        </w:rPr>
        <w:t xml:space="preserve">. El polémico “céntimo sanitario” español”, </w:t>
      </w:r>
      <w:r w:rsidRPr="00A34AEE">
        <w:rPr>
          <w:rFonts w:ascii="Century" w:hAnsi="Century"/>
          <w:i/>
          <w:sz w:val="24"/>
          <w:szCs w:val="24"/>
        </w:rPr>
        <w:t>Quincena Fiscal</w:t>
      </w:r>
      <w:r w:rsidRPr="00A34AEE">
        <w:rPr>
          <w:rFonts w:ascii="Century" w:hAnsi="Century"/>
          <w:sz w:val="24"/>
          <w:szCs w:val="24"/>
        </w:rPr>
        <w:t>, nº 21, 2014.</w:t>
      </w:r>
    </w:p>
    <w:p w:rsidR="00A34AEE" w:rsidRPr="00A34AEE" w:rsidRDefault="00A34AEE" w:rsidP="00A34AEE">
      <w:pPr>
        <w:pStyle w:val="Prrafodelista"/>
        <w:tabs>
          <w:tab w:val="left" w:pos="567"/>
        </w:tabs>
        <w:spacing w:before="240" w:after="240" w:line="360" w:lineRule="auto"/>
        <w:ind w:left="284"/>
        <w:jc w:val="both"/>
        <w:rPr>
          <w:rFonts w:ascii="Century" w:hAnsi="Century" w:cs="Arial"/>
          <w:sz w:val="12"/>
          <w:szCs w:val="12"/>
        </w:rPr>
      </w:pPr>
    </w:p>
    <w:p w:rsidR="00994D4C" w:rsidRPr="00A34AEE" w:rsidRDefault="00994D4C" w:rsidP="00A34AEE">
      <w:pPr>
        <w:pStyle w:val="Prrafodelista"/>
        <w:numPr>
          <w:ilvl w:val="0"/>
          <w:numId w:val="15"/>
        </w:numPr>
        <w:tabs>
          <w:tab w:val="left" w:pos="567"/>
        </w:tabs>
        <w:spacing w:before="240" w:after="240" w:line="360" w:lineRule="auto"/>
        <w:ind w:left="284" w:firstLine="0"/>
        <w:jc w:val="both"/>
        <w:rPr>
          <w:rFonts w:ascii="Century" w:hAnsi="Century" w:cs="Arial"/>
          <w:sz w:val="24"/>
          <w:szCs w:val="24"/>
        </w:rPr>
      </w:pPr>
      <w:r w:rsidRPr="00A34AEE">
        <w:rPr>
          <w:rFonts w:ascii="Century" w:hAnsi="Century"/>
          <w:sz w:val="24"/>
          <w:szCs w:val="24"/>
        </w:rPr>
        <w:t>CORDÓN EZQUERRO, T y GUTIÉRREZ LOUSA, M</w:t>
      </w:r>
      <w:r w:rsidRPr="00A34AEE">
        <w:rPr>
          <w:rFonts w:cstheme="minorHAnsi"/>
          <w:sz w:val="24"/>
          <w:szCs w:val="24"/>
        </w:rPr>
        <w:t>:</w:t>
      </w:r>
      <w:r w:rsidRPr="00A34AEE">
        <w:rPr>
          <w:rFonts w:ascii="Century" w:hAnsi="Century"/>
          <w:sz w:val="24"/>
          <w:szCs w:val="24"/>
        </w:rPr>
        <w:t xml:space="preserve"> “La política fiscal en la Unión Europea</w:t>
      </w:r>
      <w:r w:rsidRPr="00A34AEE">
        <w:rPr>
          <w:rFonts w:cstheme="minorHAnsi"/>
          <w:sz w:val="24"/>
          <w:szCs w:val="24"/>
        </w:rPr>
        <w:t>:</w:t>
      </w:r>
      <w:r w:rsidRPr="00A34AEE">
        <w:rPr>
          <w:rFonts w:ascii="Century" w:hAnsi="Century"/>
          <w:sz w:val="24"/>
          <w:szCs w:val="24"/>
        </w:rPr>
        <w:t xml:space="preserve"> ¿Convergencia o competencia?”, </w:t>
      </w:r>
      <w:r w:rsidRPr="00A34AEE">
        <w:rPr>
          <w:rFonts w:ascii="Century" w:hAnsi="Century"/>
          <w:i/>
          <w:sz w:val="24"/>
          <w:szCs w:val="24"/>
        </w:rPr>
        <w:t>Revista CLM Economía</w:t>
      </w:r>
      <w:r w:rsidRPr="00A34AEE">
        <w:rPr>
          <w:rFonts w:ascii="Century" w:hAnsi="Century"/>
          <w:sz w:val="24"/>
          <w:szCs w:val="24"/>
        </w:rPr>
        <w:t>, nº9, 2006.</w:t>
      </w:r>
      <w:r w:rsidR="00B10587" w:rsidRPr="00A34AEE">
        <w:rPr>
          <w:rFonts w:ascii="Century" w:hAnsi="Century"/>
          <w:sz w:val="24"/>
          <w:szCs w:val="24"/>
        </w:rPr>
        <w:t xml:space="preserve"> </w:t>
      </w:r>
      <w:r w:rsidRPr="00A34AEE">
        <w:rPr>
          <w:rStyle w:val="CitaHTML"/>
          <w:rFonts w:ascii="Century" w:hAnsi="Century"/>
          <w:sz w:val="20"/>
          <w:szCs w:val="20"/>
          <w:u w:val="single"/>
        </w:rPr>
        <w:t>www.clmeconomia.jccm.es/pdfclm/cordon_gutierrez_9.pdf</w:t>
      </w:r>
    </w:p>
    <w:p w:rsidR="00994D4C" w:rsidRPr="008550FB" w:rsidRDefault="00994D4C" w:rsidP="0016255F">
      <w:pPr>
        <w:pStyle w:val="Prrafodelista"/>
        <w:tabs>
          <w:tab w:val="left" w:pos="567"/>
        </w:tabs>
        <w:spacing w:before="240" w:after="240" w:line="360" w:lineRule="auto"/>
        <w:ind w:left="284"/>
        <w:jc w:val="both"/>
        <w:rPr>
          <w:rFonts w:ascii="Century" w:hAnsi="Century"/>
          <w:sz w:val="10"/>
          <w:szCs w:val="10"/>
        </w:rPr>
      </w:pPr>
    </w:p>
    <w:p w:rsidR="00994D4C" w:rsidRDefault="00994D4C" w:rsidP="0016255F">
      <w:pPr>
        <w:pStyle w:val="Prrafodelista"/>
        <w:numPr>
          <w:ilvl w:val="0"/>
          <w:numId w:val="15"/>
        </w:numPr>
        <w:tabs>
          <w:tab w:val="left" w:pos="567"/>
        </w:tabs>
        <w:spacing w:before="240" w:after="240" w:line="360" w:lineRule="auto"/>
        <w:ind w:left="284" w:firstLine="0"/>
        <w:jc w:val="both"/>
        <w:rPr>
          <w:rFonts w:ascii="Century" w:hAnsi="Century"/>
          <w:sz w:val="24"/>
          <w:szCs w:val="24"/>
        </w:rPr>
      </w:pPr>
      <w:r w:rsidRPr="00F67785">
        <w:rPr>
          <w:rFonts w:ascii="Century" w:hAnsi="Century"/>
          <w:sz w:val="24"/>
          <w:szCs w:val="24"/>
        </w:rPr>
        <w:t>CRESPO NAVARRO, E</w:t>
      </w:r>
      <w:r w:rsidRPr="00514069">
        <w:rPr>
          <w:rFonts w:cstheme="minorHAnsi"/>
          <w:sz w:val="24"/>
          <w:szCs w:val="24"/>
        </w:rPr>
        <w:t>:</w:t>
      </w:r>
      <w:r w:rsidRPr="00F67785">
        <w:rPr>
          <w:rFonts w:ascii="Century" w:hAnsi="Century"/>
          <w:sz w:val="24"/>
          <w:szCs w:val="24"/>
        </w:rPr>
        <w:t xml:space="preserve"> “La jurisprudencia del TJCE en materia de ciudadanía de la Unión</w:t>
      </w:r>
      <w:r w:rsidRPr="00514069">
        <w:rPr>
          <w:rFonts w:cstheme="minorHAnsi"/>
          <w:sz w:val="24"/>
          <w:szCs w:val="24"/>
        </w:rPr>
        <w:t>:</w:t>
      </w:r>
      <w:r w:rsidRPr="00F67785">
        <w:rPr>
          <w:rFonts w:ascii="Century" w:hAnsi="Century"/>
          <w:sz w:val="24"/>
          <w:szCs w:val="24"/>
        </w:rPr>
        <w:t xml:space="preserve"> una interpretación generosa basada en la remisión al derecho nacional y en el principio de no discriminación por razón de la nacionalidad”, </w:t>
      </w:r>
      <w:r w:rsidRPr="00F67785">
        <w:rPr>
          <w:rFonts w:ascii="Century" w:hAnsi="Century"/>
          <w:i/>
          <w:sz w:val="24"/>
          <w:szCs w:val="24"/>
        </w:rPr>
        <w:t>Revista de Derecho Comunitario Europeo</w:t>
      </w:r>
      <w:r w:rsidRPr="00F67785">
        <w:rPr>
          <w:rFonts w:ascii="Century" w:hAnsi="Century"/>
          <w:sz w:val="24"/>
          <w:szCs w:val="24"/>
        </w:rPr>
        <w:t>, nº28, Madrid, 2007.</w:t>
      </w:r>
    </w:p>
    <w:p w:rsidR="00B10587" w:rsidRPr="0016255F" w:rsidRDefault="00B10587" w:rsidP="0016255F">
      <w:pPr>
        <w:pStyle w:val="Prrafodelista"/>
        <w:spacing w:before="240"/>
        <w:rPr>
          <w:rFonts w:ascii="Century" w:hAnsi="Century"/>
          <w:sz w:val="10"/>
          <w:szCs w:val="10"/>
        </w:rPr>
      </w:pPr>
    </w:p>
    <w:p w:rsidR="00B10587" w:rsidRDefault="00B10587" w:rsidP="0016255F">
      <w:pPr>
        <w:pStyle w:val="Prrafodelista"/>
        <w:numPr>
          <w:ilvl w:val="0"/>
          <w:numId w:val="15"/>
        </w:numPr>
        <w:tabs>
          <w:tab w:val="left" w:pos="567"/>
        </w:tabs>
        <w:spacing w:before="240" w:after="240" w:line="360" w:lineRule="auto"/>
        <w:ind w:left="284" w:firstLine="0"/>
        <w:jc w:val="both"/>
        <w:rPr>
          <w:rFonts w:ascii="Century" w:hAnsi="Century"/>
          <w:sz w:val="24"/>
          <w:szCs w:val="24"/>
        </w:rPr>
      </w:pPr>
      <w:r>
        <w:rPr>
          <w:rFonts w:ascii="Century" w:hAnsi="Century"/>
          <w:sz w:val="24"/>
          <w:szCs w:val="24"/>
        </w:rPr>
        <w:t>COMISIÓN EUROPEA:</w:t>
      </w:r>
    </w:p>
    <w:p w:rsidR="00B10587" w:rsidRPr="0016255F" w:rsidRDefault="00B10587" w:rsidP="0016255F">
      <w:pPr>
        <w:pStyle w:val="Prrafodelista"/>
        <w:spacing w:before="240"/>
        <w:rPr>
          <w:rFonts w:ascii="Century" w:hAnsi="Century"/>
          <w:sz w:val="10"/>
          <w:szCs w:val="10"/>
        </w:rPr>
      </w:pPr>
    </w:p>
    <w:p w:rsidR="00B10587" w:rsidRDefault="00B10587" w:rsidP="0016255F">
      <w:pPr>
        <w:pStyle w:val="Prrafodelista"/>
        <w:numPr>
          <w:ilvl w:val="0"/>
          <w:numId w:val="15"/>
        </w:numPr>
        <w:tabs>
          <w:tab w:val="left" w:pos="284"/>
        </w:tabs>
        <w:spacing w:before="240" w:after="240" w:line="360" w:lineRule="auto"/>
        <w:ind w:left="851" w:hanging="218"/>
        <w:jc w:val="both"/>
        <w:rPr>
          <w:rFonts w:ascii="Century" w:hAnsi="Century"/>
          <w:sz w:val="24"/>
          <w:szCs w:val="24"/>
        </w:rPr>
      </w:pPr>
      <w:r>
        <w:rPr>
          <w:rFonts w:ascii="Century" w:hAnsi="Century"/>
          <w:sz w:val="24"/>
          <w:szCs w:val="24"/>
        </w:rPr>
        <w:t>Comunicación al Consejo, al Parlamento Europeo y al Comité Económico y Social Europeo -</w:t>
      </w:r>
      <w:r w:rsidRPr="00BC6078">
        <w:rPr>
          <w:rFonts w:ascii="Century" w:hAnsi="Century"/>
          <w:sz w:val="24"/>
          <w:szCs w:val="24"/>
        </w:rPr>
        <w:t xml:space="preserve"> “Polít</w:t>
      </w:r>
      <w:r>
        <w:rPr>
          <w:rFonts w:ascii="Century" w:hAnsi="Century"/>
          <w:sz w:val="24"/>
          <w:szCs w:val="24"/>
        </w:rPr>
        <w:t>ica fiscal en la Unión Europea -</w:t>
      </w:r>
      <w:r w:rsidRPr="00BC6078">
        <w:rPr>
          <w:rFonts w:ascii="Century" w:hAnsi="Century"/>
          <w:sz w:val="24"/>
          <w:szCs w:val="24"/>
        </w:rPr>
        <w:t xml:space="preserve"> Prioridades para los próximos años” [COM (2001) 260 final]</w:t>
      </w:r>
      <w:r>
        <w:rPr>
          <w:rFonts w:ascii="Century" w:hAnsi="Century"/>
          <w:sz w:val="24"/>
          <w:szCs w:val="24"/>
        </w:rPr>
        <w:t>.</w:t>
      </w:r>
    </w:p>
    <w:p w:rsidR="00B10587" w:rsidRPr="003F00CD" w:rsidRDefault="00B10587" w:rsidP="0016255F">
      <w:pPr>
        <w:pStyle w:val="Prrafodelista"/>
        <w:spacing w:before="240" w:after="240" w:line="360" w:lineRule="auto"/>
        <w:ind w:left="851" w:hanging="218"/>
        <w:jc w:val="both"/>
        <w:rPr>
          <w:rFonts w:ascii="Century" w:hAnsi="Century"/>
          <w:sz w:val="10"/>
          <w:szCs w:val="10"/>
        </w:rPr>
      </w:pPr>
    </w:p>
    <w:p w:rsidR="00B10587" w:rsidRDefault="00B10587" w:rsidP="0016255F">
      <w:pPr>
        <w:pStyle w:val="Prrafodelista"/>
        <w:numPr>
          <w:ilvl w:val="0"/>
          <w:numId w:val="15"/>
        </w:numPr>
        <w:tabs>
          <w:tab w:val="left" w:pos="284"/>
        </w:tabs>
        <w:spacing w:before="240" w:after="240" w:line="360" w:lineRule="auto"/>
        <w:ind w:left="851" w:hanging="218"/>
        <w:jc w:val="both"/>
        <w:rPr>
          <w:rFonts w:ascii="Century" w:hAnsi="Century"/>
          <w:sz w:val="24"/>
          <w:szCs w:val="24"/>
        </w:rPr>
      </w:pPr>
      <w:r w:rsidRPr="00BC6078">
        <w:rPr>
          <w:rFonts w:ascii="Century" w:hAnsi="Century"/>
          <w:sz w:val="24"/>
          <w:szCs w:val="24"/>
        </w:rPr>
        <w:t xml:space="preserve">Comunicación </w:t>
      </w:r>
      <w:r>
        <w:rPr>
          <w:rFonts w:ascii="Century" w:hAnsi="Century"/>
          <w:sz w:val="24"/>
          <w:szCs w:val="24"/>
        </w:rPr>
        <w:t>al Consejo, al Parlamento Europeo y al Comité Económico y Social</w:t>
      </w:r>
      <w:r w:rsidRPr="00BC6078">
        <w:rPr>
          <w:rFonts w:ascii="Century" w:hAnsi="Century"/>
          <w:sz w:val="24"/>
          <w:szCs w:val="24"/>
        </w:rPr>
        <w:t xml:space="preserve"> </w:t>
      </w:r>
      <w:r>
        <w:rPr>
          <w:rFonts w:ascii="Century" w:hAnsi="Century"/>
          <w:sz w:val="24"/>
          <w:szCs w:val="24"/>
        </w:rPr>
        <w:t xml:space="preserve">Europeo - </w:t>
      </w:r>
      <w:r w:rsidRPr="00BC6078">
        <w:rPr>
          <w:rFonts w:ascii="Century" w:hAnsi="Century"/>
          <w:sz w:val="24"/>
          <w:szCs w:val="24"/>
        </w:rPr>
        <w:t>“La coordinación de los sistemas de imposición directa de los Estados miembros en el mercado interior” [COM (2006) 823 final]</w:t>
      </w:r>
      <w:r>
        <w:rPr>
          <w:rFonts w:ascii="Century" w:hAnsi="Century"/>
          <w:sz w:val="24"/>
          <w:szCs w:val="24"/>
        </w:rPr>
        <w:t>.</w:t>
      </w:r>
    </w:p>
    <w:p w:rsidR="00B10587" w:rsidRPr="003F00CD" w:rsidRDefault="00B10587" w:rsidP="0016255F">
      <w:pPr>
        <w:pStyle w:val="Prrafodelista"/>
        <w:spacing w:before="240" w:after="240" w:line="360" w:lineRule="auto"/>
        <w:ind w:left="851" w:hanging="218"/>
        <w:jc w:val="both"/>
        <w:rPr>
          <w:rFonts w:ascii="Century" w:hAnsi="Century"/>
          <w:sz w:val="10"/>
          <w:szCs w:val="10"/>
        </w:rPr>
      </w:pPr>
    </w:p>
    <w:p w:rsidR="00B10587" w:rsidRDefault="00B10587" w:rsidP="0016255F">
      <w:pPr>
        <w:pStyle w:val="Prrafodelista"/>
        <w:numPr>
          <w:ilvl w:val="0"/>
          <w:numId w:val="15"/>
        </w:numPr>
        <w:tabs>
          <w:tab w:val="left" w:pos="284"/>
        </w:tabs>
        <w:spacing w:before="240" w:after="240" w:line="360" w:lineRule="auto"/>
        <w:ind w:left="851" w:hanging="218"/>
        <w:jc w:val="both"/>
        <w:rPr>
          <w:rFonts w:ascii="Century" w:hAnsi="Century"/>
          <w:sz w:val="24"/>
          <w:szCs w:val="24"/>
        </w:rPr>
      </w:pPr>
      <w:r w:rsidRPr="00BC6078">
        <w:rPr>
          <w:rFonts w:ascii="Century" w:hAnsi="Century"/>
          <w:sz w:val="24"/>
          <w:szCs w:val="24"/>
        </w:rPr>
        <w:t xml:space="preserve">Comunicación </w:t>
      </w:r>
      <w:r>
        <w:rPr>
          <w:rFonts w:ascii="Century" w:hAnsi="Century"/>
          <w:sz w:val="24"/>
          <w:szCs w:val="24"/>
        </w:rPr>
        <w:t>al Consejo, al Parlamento Europeo y al Comité Económico y Social Europeo -</w:t>
      </w:r>
      <w:r w:rsidRPr="00BC6078">
        <w:rPr>
          <w:rFonts w:ascii="Century" w:hAnsi="Century"/>
          <w:sz w:val="24"/>
          <w:szCs w:val="24"/>
        </w:rPr>
        <w:t xml:space="preserve"> “Imposición de salida y necesidad de coordinación de las políticas tributarias de los Estados miembros” [COM (2006) 825 final]</w:t>
      </w:r>
      <w:r>
        <w:rPr>
          <w:rFonts w:ascii="Century" w:hAnsi="Century"/>
          <w:sz w:val="24"/>
          <w:szCs w:val="24"/>
        </w:rPr>
        <w:t>.</w:t>
      </w:r>
    </w:p>
    <w:p w:rsidR="00B10587" w:rsidRPr="003F00CD" w:rsidRDefault="00B10587" w:rsidP="0016255F">
      <w:pPr>
        <w:pStyle w:val="Prrafodelista"/>
        <w:spacing w:before="240" w:after="240" w:line="360" w:lineRule="auto"/>
        <w:ind w:left="851" w:hanging="218"/>
        <w:jc w:val="both"/>
        <w:rPr>
          <w:rFonts w:ascii="Century" w:hAnsi="Century"/>
          <w:sz w:val="10"/>
          <w:szCs w:val="10"/>
        </w:rPr>
      </w:pPr>
    </w:p>
    <w:p w:rsidR="00B10587" w:rsidRDefault="00B10587" w:rsidP="0016255F">
      <w:pPr>
        <w:pStyle w:val="Prrafodelista"/>
        <w:numPr>
          <w:ilvl w:val="0"/>
          <w:numId w:val="15"/>
        </w:numPr>
        <w:tabs>
          <w:tab w:val="left" w:pos="284"/>
        </w:tabs>
        <w:spacing w:before="240" w:after="240" w:line="360" w:lineRule="auto"/>
        <w:ind w:left="851" w:hanging="218"/>
        <w:jc w:val="both"/>
        <w:rPr>
          <w:rFonts w:ascii="Century" w:hAnsi="Century"/>
          <w:sz w:val="24"/>
          <w:szCs w:val="24"/>
        </w:rPr>
      </w:pPr>
      <w:r w:rsidRPr="00BC6078">
        <w:rPr>
          <w:rFonts w:ascii="Century" w:hAnsi="Century"/>
          <w:sz w:val="24"/>
          <w:szCs w:val="24"/>
        </w:rPr>
        <w:t>Comunicación</w:t>
      </w:r>
      <w:r>
        <w:rPr>
          <w:rFonts w:ascii="Century" w:hAnsi="Century"/>
          <w:sz w:val="24"/>
          <w:szCs w:val="24"/>
        </w:rPr>
        <w:t xml:space="preserve"> al Consejo, al Parlamento Europeo y al Comité Económico y Social -</w:t>
      </w:r>
      <w:r w:rsidRPr="00BC6078">
        <w:rPr>
          <w:rFonts w:ascii="Century" w:hAnsi="Century"/>
          <w:sz w:val="24"/>
          <w:szCs w:val="24"/>
        </w:rPr>
        <w:t xml:space="preserve"> “Consideración fiscal de las pérdidas en un contexto transfronterizo” [COM (2006) 824 final]</w:t>
      </w:r>
      <w:r>
        <w:rPr>
          <w:rFonts w:ascii="Century" w:hAnsi="Century"/>
          <w:sz w:val="24"/>
          <w:szCs w:val="24"/>
        </w:rPr>
        <w:t>.</w:t>
      </w:r>
    </w:p>
    <w:p w:rsidR="00B10587" w:rsidRPr="003F00CD" w:rsidRDefault="00B10587" w:rsidP="0016255F">
      <w:pPr>
        <w:pStyle w:val="Prrafodelista"/>
        <w:tabs>
          <w:tab w:val="left" w:pos="284"/>
        </w:tabs>
        <w:spacing w:before="240" w:after="240" w:line="360" w:lineRule="auto"/>
        <w:ind w:left="851" w:hanging="218"/>
        <w:jc w:val="both"/>
        <w:rPr>
          <w:rFonts w:ascii="Century" w:hAnsi="Century"/>
          <w:sz w:val="10"/>
          <w:szCs w:val="10"/>
        </w:rPr>
      </w:pPr>
    </w:p>
    <w:p w:rsidR="00B10587" w:rsidRDefault="00B10587" w:rsidP="0016255F">
      <w:pPr>
        <w:pStyle w:val="Prrafodelista"/>
        <w:numPr>
          <w:ilvl w:val="0"/>
          <w:numId w:val="15"/>
        </w:numPr>
        <w:tabs>
          <w:tab w:val="left" w:pos="284"/>
        </w:tabs>
        <w:spacing w:before="240" w:after="240" w:line="360" w:lineRule="auto"/>
        <w:ind w:left="851" w:hanging="218"/>
        <w:jc w:val="both"/>
        <w:rPr>
          <w:rFonts w:ascii="Century" w:hAnsi="Century"/>
          <w:sz w:val="24"/>
          <w:szCs w:val="24"/>
        </w:rPr>
      </w:pPr>
      <w:r w:rsidRPr="00BC6078">
        <w:rPr>
          <w:rFonts w:ascii="Century" w:hAnsi="Century"/>
          <w:sz w:val="24"/>
          <w:szCs w:val="24"/>
        </w:rPr>
        <w:t xml:space="preserve">Comunicación de la Comisión </w:t>
      </w:r>
      <w:r>
        <w:rPr>
          <w:rFonts w:ascii="Century" w:hAnsi="Century"/>
          <w:sz w:val="24"/>
          <w:szCs w:val="24"/>
        </w:rPr>
        <w:t>al Consejo, al Parlamento Europeo y al Comité Económico y Social -</w:t>
      </w:r>
      <w:r w:rsidRPr="00BC6078">
        <w:rPr>
          <w:rFonts w:ascii="Century" w:hAnsi="Century"/>
          <w:sz w:val="24"/>
          <w:szCs w:val="24"/>
        </w:rPr>
        <w:t xml:space="preserve"> “Aplicación de medidas contra las </w:t>
      </w:r>
      <w:r w:rsidRPr="00BC6078">
        <w:rPr>
          <w:rFonts w:ascii="Century" w:hAnsi="Century"/>
          <w:sz w:val="24"/>
          <w:szCs w:val="24"/>
        </w:rPr>
        <w:lastRenderedPageBreak/>
        <w:t>prácticas abusivas en el ámbito de la fiscalidad directa dentro de la UE y en relación con terceros países” [COM (2007) 785 final]</w:t>
      </w:r>
      <w:r>
        <w:rPr>
          <w:rFonts w:ascii="Century" w:hAnsi="Century"/>
          <w:sz w:val="24"/>
          <w:szCs w:val="24"/>
        </w:rPr>
        <w:t>.</w:t>
      </w:r>
    </w:p>
    <w:p w:rsidR="00B10587" w:rsidRPr="00BC6078" w:rsidRDefault="00B10587" w:rsidP="0016255F">
      <w:pPr>
        <w:pStyle w:val="Prrafodelista"/>
        <w:tabs>
          <w:tab w:val="left" w:pos="284"/>
        </w:tabs>
        <w:spacing w:before="240" w:after="240" w:line="360" w:lineRule="auto"/>
        <w:ind w:left="851" w:hanging="218"/>
        <w:jc w:val="both"/>
        <w:rPr>
          <w:rFonts w:ascii="Century" w:hAnsi="Century"/>
          <w:sz w:val="10"/>
          <w:szCs w:val="10"/>
        </w:rPr>
      </w:pPr>
    </w:p>
    <w:p w:rsidR="00B10587" w:rsidRPr="00994D4C" w:rsidRDefault="00B10587" w:rsidP="0016255F">
      <w:pPr>
        <w:pStyle w:val="Prrafodelista"/>
        <w:numPr>
          <w:ilvl w:val="0"/>
          <w:numId w:val="15"/>
        </w:numPr>
        <w:tabs>
          <w:tab w:val="left" w:pos="284"/>
        </w:tabs>
        <w:spacing w:before="240" w:after="240" w:line="360" w:lineRule="auto"/>
        <w:ind w:left="851" w:hanging="218"/>
        <w:jc w:val="both"/>
        <w:rPr>
          <w:rFonts w:ascii="Century" w:hAnsi="Century"/>
          <w:b/>
          <w:sz w:val="24"/>
          <w:szCs w:val="24"/>
        </w:rPr>
      </w:pPr>
      <w:r w:rsidRPr="00BC6078">
        <w:rPr>
          <w:rFonts w:ascii="Century" w:hAnsi="Century"/>
          <w:sz w:val="24"/>
          <w:szCs w:val="24"/>
        </w:rPr>
        <w:t xml:space="preserve">Comunicación </w:t>
      </w:r>
      <w:r>
        <w:rPr>
          <w:rFonts w:ascii="Century" w:hAnsi="Century"/>
          <w:sz w:val="24"/>
          <w:szCs w:val="24"/>
        </w:rPr>
        <w:t>al Consejo, al Parlamento Europeo y al Comité Económico y Social -</w:t>
      </w:r>
      <w:r w:rsidRPr="00BC6078">
        <w:rPr>
          <w:rFonts w:ascii="Century" w:hAnsi="Century"/>
          <w:sz w:val="24"/>
          <w:szCs w:val="24"/>
        </w:rPr>
        <w:t xml:space="preserve"> “Eliminar las barreras fiscales transfronterizas en beneficio de los ciudadanos de la UE</w:t>
      </w:r>
      <w:r w:rsidRPr="00994D4C">
        <w:rPr>
          <w:rFonts w:ascii="Century" w:hAnsi="Century"/>
          <w:sz w:val="24"/>
          <w:szCs w:val="24"/>
        </w:rPr>
        <w:t>”</w:t>
      </w:r>
      <w:r w:rsidRPr="00994D4C">
        <w:rPr>
          <w:rStyle w:val="Ttulo2Car"/>
          <w:sz w:val="24"/>
          <w:szCs w:val="24"/>
        </w:rPr>
        <w:t xml:space="preserve"> </w:t>
      </w:r>
      <w:r w:rsidRPr="00994D4C">
        <w:rPr>
          <w:rStyle w:val="Ttulo2Car"/>
          <w:rFonts w:ascii="Century" w:hAnsi="Century"/>
          <w:b w:val="0"/>
          <w:color w:val="auto"/>
          <w:sz w:val="24"/>
          <w:szCs w:val="24"/>
        </w:rPr>
        <w:t>[</w:t>
      </w:r>
      <w:r w:rsidRPr="00994D4C">
        <w:rPr>
          <w:rStyle w:val="Textoennegrita"/>
          <w:rFonts w:ascii="Century" w:hAnsi="Century"/>
          <w:b w:val="0"/>
          <w:sz w:val="24"/>
          <w:szCs w:val="24"/>
        </w:rPr>
        <w:t>COM (2010) 769 final].</w:t>
      </w:r>
    </w:p>
    <w:p w:rsidR="00B10587" w:rsidRPr="00994D4C" w:rsidRDefault="00B10587" w:rsidP="0016255F">
      <w:pPr>
        <w:pStyle w:val="Prrafodelista"/>
        <w:spacing w:before="240" w:after="240" w:line="360" w:lineRule="auto"/>
        <w:ind w:left="851" w:hanging="218"/>
        <w:jc w:val="both"/>
        <w:rPr>
          <w:rFonts w:ascii="Century" w:hAnsi="Century"/>
          <w:sz w:val="10"/>
          <w:szCs w:val="10"/>
        </w:rPr>
      </w:pPr>
    </w:p>
    <w:p w:rsidR="00B10587" w:rsidRPr="00994D4C" w:rsidRDefault="00B10587" w:rsidP="0016255F">
      <w:pPr>
        <w:pStyle w:val="Prrafodelista"/>
        <w:numPr>
          <w:ilvl w:val="0"/>
          <w:numId w:val="15"/>
        </w:numPr>
        <w:tabs>
          <w:tab w:val="left" w:pos="284"/>
        </w:tabs>
        <w:spacing w:before="240" w:after="240" w:line="360" w:lineRule="auto"/>
        <w:ind w:left="851" w:hanging="218"/>
        <w:jc w:val="both"/>
        <w:rPr>
          <w:rFonts w:ascii="Century" w:hAnsi="Century"/>
          <w:b/>
          <w:sz w:val="24"/>
          <w:szCs w:val="24"/>
        </w:rPr>
      </w:pPr>
      <w:r w:rsidRPr="00994D4C">
        <w:rPr>
          <w:rFonts w:ascii="Century" w:hAnsi="Century"/>
          <w:sz w:val="24"/>
          <w:szCs w:val="24"/>
        </w:rPr>
        <w:t>Comunicación al Consejo, al Parlamento Europeo y al Comité Económico y Social - “Solventar los obstáculos transfronterizos derivados de los impuestos sobre sucesiones en la UE” [</w:t>
      </w:r>
      <w:r w:rsidRPr="00994D4C">
        <w:rPr>
          <w:rStyle w:val="Textoennegrita"/>
          <w:rFonts w:ascii="Century" w:hAnsi="Century"/>
          <w:b w:val="0"/>
          <w:sz w:val="24"/>
          <w:szCs w:val="24"/>
        </w:rPr>
        <w:t>COM (2011) 864 final].</w:t>
      </w:r>
    </w:p>
    <w:p w:rsidR="00B10587" w:rsidRPr="00994D4C" w:rsidRDefault="00B10587" w:rsidP="0016255F">
      <w:pPr>
        <w:pStyle w:val="Prrafodelista"/>
        <w:tabs>
          <w:tab w:val="left" w:pos="284"/>
        </w:tabs>
        <w:spacing w:before="240" w:after="240" w:line="360" w:lineRule="auto"/>
        <w:ind w:left="851" w:hanging="218"/>
        <w:jc w:val="both"/>
        <w:rPr>
          <w:rFonts w:ascii="Century" w:hAnsi="Century"/>
          <w:sz w:val="10"/>
          <w:szCs w:val="10"/>
        </w:rPr>
      </w:pPr>
    </w:p>
    <w:p w:rsidR="00B10587" w:rsidRPr="00BC6078" w:rsidRDefault="00B10587" w:rsidP="0016255F">
      <w:pPr>
        <w:pStyle w:val="Prrafodelista"/>
        <w:numPr>
          <w:ilvl w:val="0"/>
          <w:numId w:val="15"/>
        </w:numPr>
        <w:tabs>
          <w:tab w:val="left" w:pos="284"/>
        </w:tabs>
        <w:spacing w:before="240" w:after="240" w:line="360" w:lineRule="auto"/>
        <w:ind w:left="851" w:hanging="218"/>
        <w:jc w:val="both"/>
        <w:rPr>
          <w:rFonts w:ascii="Century" w:hAnsi="Century"/>
          <w:sz w:val="24"/>
          <w:szCs w:val="24"/>
        </w:rPr>
      </w:pPr>
      <w:r w:rsidRPr="00994D4C">
        <w:rPr>
          <w:rFonts w:ascii="Century" w:hAnsi="Century"/>
          <w:sz w:val="24"/>
          <w:szCs w:val="24"/>
        </w:rPr>
        <w:t>Documento de Trabajo de los servicios de la Comisión “Regímenes</w:t>
      </w:r>
      <w:r w:rsidRPr="00BC6078">
        <w:rPr>
          <w:rFonts w:ascii="Century" w:hAnsi="Century"/>
          <w:sz w:val="24"/>
          <w:szCs w:val="24"/>
        </w:rPr>
        <w:t xml:space="preserve"> del impuesto sobre sucesiones no discriminatorios” [SEC (2011) 1488 final].</w:t>
      </w:r>
    </w:p>
    <w:p w:rsidR="00B10587" w:rsidRPr="00BC6078" w:rsidRDefault="00B10587" w:rsidP="0016255F">
      <w:pPr>
        <w:pStyle w:val="Prrafodelista"/>
        <w:tabs>
          <w:tab w:val="left" w:pos="284"/>
        </w:tabs>
        <w:spacing w:before="240" w:after="240" w:line="360" w:lineRule="auto"/>
        <w:ind w:left="851" w:hanging="218"/>
        <w:jc w:val="both"/>
        <w:rPr>
          <w:rFonts w:ascii="Century" w:hAnsi="Century"/>
          <w:sz w:val="10"/>
          <w:szCs w:val="10"/>
        </w:rPr>
      </w:pPr>
    </w:p>
    <w:p w:rsidR="00B10587" w:rsidRDefault="00B10587" w:rsidP="0016255F">
      <w:pPr>
        <w:pStyle w:val="Prrafodelista"/>
        <w:numPr>
          <w:ilvl w:val="0"/>
          <w:numId w:val="15"/>
        </w:numPr>
        <w:tabs>
          <w:tab w:val="left" w:pos="284"/>
        </w:tabs>
        <w:spacing w:before="240" w:after="240" w:line="360" w:lineRule="auto"/>
        <w:ind w:left="851" w:hanging="218"/>
        <w:jc w:val="both"/>
        <w:rPr>
          <w:rFonts w:ascii="Century" w:hAnsi="Century"/>
          <w:sz w:val="24"/>
          <w:szCs w:val="24"/>
        </w:rPr>
      </w:pPr>
      <w:r w:rsidRPr="00BC6078">
        <w:rPr>
          <w:rFonts w:ascii="Century" w:hAnsi="Century" w:cs="TimesNewRoman"/>
          <w:sz w:val="24"/>
          <w:szCs w:val="24"/>
        </w:rPr>
        <w:t>Recomendación</w:t>
      </w:r>
      <w:r>
        <w:rPr>
          <w:rFonts w:ascii="Century" w:hAnsi="Century" w:cs="TimesNewRoman"/>
          <w:sz w:val="24"/>
          <w:szCs w:val="24"/>
        </w:rPr>
        <w:t xml:space="preserve"> de 15 de diciembre de 2011 </w:t>
      </w:r>
      <w:r w:rsidRPr="00BC6078">
        <w:rPr>
          <w:rFonts w:ascii="Century" w:hAnsi="Century" w:cs="TimesNewRoman"/>
          <w:sz w:val="24"/>
          <w:szCs w:val="24"/>
        </w:rPr>
        <w:t xml:space="preserve">relativa a medidas encaminadas a evitar la doble imposición en materia de sucesiones </w:t>
      </w:r>
      <w:r w:rsidRPr="00BC6078">
        <w:rPr>
          <w:rFonts w:ascii="Century" w:hAnsi="Century"/>
          <w:sz w:val="24"/>
          <w:szCs w:val="24"/>
        </w:rPr>
        <w:t>(2011/856/UE).</w:t>
      </w:r>
    </w:p>
    <w:p w:rsidR="00B10587" w:rsidRPr="0016255F" w:rsidRDefault="00B10587" w:rsidP="0016255F">
      <w:pPr>
        <w:pStyle w:val="Prrafodelista"/>
        <w:spacing w:before="240"/>
        <w:rPr>
          <w:rFonts w:ascii="Century" w:hAnsi="Century"/>
          <w:sz w:val="10"/>
          <w:szCs w:val="10"/>
        </w:rPr>
      </w:pPr>
    </w:p>
    <w:p w:rsidR="00994D4C" w:rsidRPr="00B10587" w:rsidRDefault="00994D4C" w:rsidP="0016255F">
      <w:pPr>
        <w:pStyle w:val="Prrafodelista"/>
        <w:numPr>
          <w:ilvl w:val="0"/>
          <w:numId w:val="15"/>
        </w:numPr>
        <w:tabs>
          <w:tab w:val="left" w:pos="567"/>
        </w:tabs>
        <w:spacing w:before="240" w:after="240" w:line="360" w:lineRule="auto"/>
        <w:ind w:left="284" w:firstLine="0"/>
        <w:jc w:val="both"/>
        <w:rPr>
          <w:rStyle w:val="CitaHTML"/>
          <w:rFonts w:ascii="Century" w:hAnsi="Century"/>
          <w:i w:val="0"/>
          <w:iCs w:val="0"/>
          <w:sz w:val="24"/>
          <w:szCs w:val="24"/>
        </w:rPr>
      </w:pPr>
      <w:r w:rsidRPr="00B10587">
        <w:rPr>
          <w:rFonts w:ascii="Century" w:hAnsi="Century"/>
          <w:sz w:val="24"/>
          <w:szCs w:val="24"/>
        </w:rPr>
        <w:t>CUENCA GARCÍA, E, NAVARRO PABSDORF, M, MIHI RAMÍREZ, A, y BARRILAO, P.E</w:t>
      </w:r>
      <w:r w:rsidRPr="00B10587">
        <w:rPr>
          <w:rFonts w:cstheme="minorHAnsi"/>
          <w:sz w:val="24"/>
          <w:szCs w:val="24"/>
        </w:rPr>
        <w:t>:</w:t>
      </w:r>
      <w:r w:rsidRPr="00B10587">
        <w:rPr>
          <w:rFonts w:ascii="Century" w:hAnsi="Century"/>
          <w:sz w:val="24"/>
          <w:szCs w:val="24"/>
        </w:rPr>
        <w:t xml:space="preserve"> “</w:t>
      </w:r>
      <w:r w:rsidRPr="00B10587">
        <w:rPr>
          <w:rFonts w:ascii="Century" w:hAnsi="Century"/>
          <w:bCs/>
          <w:sz w:val="24"/>
          <w:szCs w:val="24"/>
        </w:rPr>
        <w:t xml:space="preserve">La armonización fiscal en la Unión Europea”. </w:t>
      </w:r>
      <w:r w:rsidRPr="00B10587">
        <w:rPr>
          <w:rFonts w:ascii="Century" w:hAnsi="Century"/>
          <w:bCs/>
          <w:i/>
          <w:sz w:val="24"/>
          <w:szCs w:val="24"/>
        </w:rPr>
        <w:t>XIV Reunión de Economía Mundial</w:t>
      </w:r>
      <w:r w:rsidRPr="00B10587">
        <w:rPr>
          <w:rFonts w:ascii="Century" w:hAnsi="Century"/>
          <w:bCs/>
          <w:sz w:val="24"/>
          <w:szCs w:val="24"/>
        </w:rPr>
        <w:t>, Universidad de Granada, Granada, 2011, pp. 1 y 2.</w:t>
      </w:r>
      <w:r w:rsidR="00B10587" w:rsidRPr="00B10587">
        <w:rPr>
          <w:rFonts w:ascii="Century" w:hAnsi="Century"/>
          <w:bCs/>
          <w:sz w:val="24"/>
          <w:szCs w:val="24"/>
        </w:rPr>
        <w:t xml:space="preserve"> </w:t>
      </w:r>
      <w:r w:rsidRPr="00B10587">
        <w:rPr>
          <w:rStyle w:val="CitaHTML"/>
          <w:rFonts w:ascii="Century" w:hAnsi="Century"/>
          <w:sz w:val="20"/>
          <w:szCs w:val="20"/>
          <w:u w:val="single"/>
        </w:rPr>
        <w:t>xivrem.ujaen.es/</w:t>
      </w:r>
      <w:proofErr w:type="spellStart"/>
      <w:r w:rsidRPr="00B10587">
        <w:rPr>
          <w:rStyle w:val="CitaHTML"/>
          <w:rFonts w:ascii="Century" w:hAnsi="Century"/>
          <w:sz w:val="20"/>
          <w:szCs w:val="20"/>
          <w:u w:val="single"/>
        </w:rPr>
        <w:t>wp-content</w:t>
      </w:r>
      <w:proofErr w:type="spellEnd"/>
      <w:r w:rsidRPr="00B10587">
        <w:rPr>
          <w:rStyle w:val="CitaHTML"/>
          <w:rFonts w:ascii="Century" w:hAnsi="Century"/>
          <w:sz w:val="20"/>
          <w:szCs w:val="20"/>
          <w:u w:val="single"/>
        </w:rPr>
        <w:t>/</w:t>
      </w:r>
      <w:proofErr w:type="spellStart"/>
      <w:r w:rsidRPr="00B10587">
        <w:rPr>
          <w:rStyle w:val="CitaHTML"/>
          <w:rFonts w:ascii="Century" w:hAnsi="Century"/>
          <w:sz w:val="20"/>
          <w:szCs w:val="20"/>
          <w:u w:val="single"/>
        </w:rPr>
        <w:t>uploads</w:t>
      </w:r>
      <w:proofErr w:type="spellEnd"/>
      <w:r w:rsidRPr="00B10587">
        <w:rPr>
          <w:rStyle w:val="CitaHTML"/>
          <w:rFonts w:ascii="Century" w:hAnsi="Century"/>
          <w:sz w:val="20"/>
          <w:szCs w:val="20"/>
          <w:u w:val="single"/>
        </w:rPr>
        <w:t>/2011/11/27-R-149M310.pdf</w:t>
      </w:r>
    </w:p>
    <w:p w:rsidR="00994D4C" w:rsidRPr="00B10587" w:rsidRDefault="00994D4C" w:rsidP="0016255F">
      <w:pPr>
        <w:pStyle w:val="Prrafodelista"/>
        <w:tabs>
          <w:tab w:val="left" w:pos="567"/>
        </w:tabs>
        <w:spacing w:before="240" w:after="240" w:line="360" w:lineRule="auto"/>
        <w:ind w:left="284"/>
        <w:jc w:val="both"/>
        <w:rPr>
          <w:rFonts w:ascii="Century" w:hAnsi="Century"/>
          <w:iCs/>
          <w:sz w:val="10"/>
          <w:szCs w:val="10"/>
        </w:rPr>
      </w:pPr>
    </w:p>
    <w:p w:rsidR="00994D4C" w:rsidRDefault="00994D4C" w:rsidP="0016255F">
      <w:pPr>
        <w:pStyle w:val="Prrafodelista"/>
        <w:numPr>
          <w:ilvl w:val="0"/>
          <w:numId w:val="15"/>
        </w:numPr>
        <w:tabs>
          <w:tab w:val="left" w:pos="567"/>
        </w:tabs>
        <w:spacing w:before="240" w:after="240" w:line="360" w:lineRule="auto"/>
        <w:ind w:left="284" w:firstLine="0"/>
        <w:jc w:val="both"/>
        <w:rPr>
          <w:rFonts w:ascii="Century" w:hAnsi="Century"/>
          <w:sz w:val="24"/>
          <w:szCs w:val="24"/>
        </w:rPr>
      </w:pPr>
      <w:r w:rsidRPr="00F67785">
        <w:rPr>
          <w:rFonts w:ascii="Century" w:hAnsi="Century"/>
          <w:sz w:val="24"/>
          <w:szCs w:val="24"/>
        </w:rPr>
        <w:t>DE LA PEÑA AMORÓS, Mª M</w:t>
      </w:r>
      <w:r w:rsidRPr="00514069">
        <w:rPr>
          <w:rFonts w:cstheme="minorHAnsi"/>
          <w:sz w:val="24"/>
          <w:szCs w:val="24"/>
        </w:rPr>
        <w:t>:</w:t>
      </w:r>
      <w:r w:rsidRPr="00F67785">
        <w:rPr>
          <w:rFonts w:ascii="Century" w:hAnsi="Century"/>
          <w:sz w:val="24"/>
          <w:szCs w:val="24"/>
        </w:rPr>
        <w:t xml:space="preserve"> </w:t>
      </w:r>
      <w:r w:rsidRPr="00F67785">
        <w:rPr>
          <w:rFonts w:ascii="Century" w:hAnsi="Century"/>
          <w:i/>
          <w:sz w:val="24"/>
          <w:szCs w:val="24"/>
        </w:rPr>
        <w:t>Las competencias normativas de las Comunidades Autónomas en los tributos cedidos</w:t>
      </w:r>
      <w:r w:rsidRPr="00F67785">
        <w:rPr>
          <w:rFonts w:ascii="Century" w:hAnsi="Century"/>
          <w:sz w:val="24"/>
          <w:szCs w:val="24"/>
        </w:rPr>
        <w:t>, Universidad de Murcia, Servicios de Publicaciones, Murcia, 2005.</w:t>
      </w:r>
    </w:p>
    <w:p w:rsidR="00A34AEE" w:rsidRPr="00A34AEE" w:rsidRDefault="00A34AEE" w:rsidP="00A34AEE">
      <w:pPr>
        <w:pStyle w:val="Prrafodelista"/>
        <w:rPr>
          <w:rFonts w:ascii="Century" w:hAnsi="Century"/>
          <w:sz w:val="24"/>
          <w:szCs w:val="24"/>
        </w:rPr>
      </w:pPr>
    </w:p>
    <w:p w:rsidR="007422D9" w:rsidRPr="00A34AEE" w:rsidRDefault="007422D9" w:rsidP="00A34AEE">
      <w:pPr>
        <w:pStyle w:val="Prrafodelista"/>
        <w:numPr>
          <w:ilvl w:val="0"/>
          <w:numId w:val="15"/>
        </w:numPr>
        <w:tabs>
          <w:tab w:val="left" w:pos="567"/>
        </w:tabs>
        <w:spacing w:before="240" w:after="240" w:line="360" w:lineRule="auto"/>
        <w:ind w:left="284" w:firstLine="0"/>
        <w:jc w:val="both"/>
        <w:rPr>
          <w:rFonts w:ascii="Century" w:hAnsi="Century"/>
          <w:sz w:val="24"/>
          <w:szCs w:val="24"/>
          <w:lang w:val="en-US"/>
        </w:rPr>
      </w:pPr>
      <w:r w:rsidRPr="00A34AEE">
        <w:rPr>
          <w:rFonts w:ascii="Century" w:hAnsi="Century"/>
          <w:sz w:val="24"/>
          <w:szCs w:val="24"/>
          <w:lang w:val="en-US"/>
        </w:rPr>
        <w:t>ERNST &amp; YOUNG: “</w:t>
      </w:r>
      <w:r w:rsidRPr="00A34AEE">
        <w:rPr>
          <w:rFonts w:ascii="Century" w:hAnsi="Century"/>
          <w:i/>
          <w:sz w:val="24"/>
          <w:szCs w:val="24"/>
          <w:lang w:val="en-US"/>
        </w:rPr>
        <w:t>Worldwide Estate and Inheritance Tax Guide</w:t>
      </w:r>
      <w:r w:rsidRPr="00A34AEE">
        <w:rPr>
          <w:rFonts w:ascii="Century" w:hAnsi="Century"/>
          <w:sz w:val="24"/>
          <w:szCs w:val="24"/>
          <w:lang w:val="en-US"/>
        </w:rPr>
        <w:t xml:space="preserve">”, </w:t>
      </w:r>
    </w:p>
    <w:p w:rsidR="007422D9" w:rsidRPr="007422D9" w:rsidRDefault="007422D9" w:rsidP="0016255F">
      <w:pPr>
        <w:pStyle w:val="Prrafodelista"/>
        <w:tabs>
          <w:tab w:val="left" w:pos="567"/>
        </w:tabs>
        <w:spacing w:before="240" w:after="240" w:line="360" w:lineRule="auto"/>
        <w:ind w:left="284"/>
        <w:jc w:val="both"/>
        <w:rPr>
          <w:rFonts w:ascii="Century" w:hAnsi="Century"/>
          <w:i/>
          <w:sz w:val="20"/>
          <w:szCs w:val="20"/>
          <w:u w:val="single"/>
          <w:lang w:val="en-US"/>
        </w:rPr>
      </w:pPr>
      <w:r w:rsidRPr="007422D9">
        <w:rPr>
          <w:rFonts w:ascii="Century" w:hAnsi="Century"/>
          <w:i/>
          <w:sz w:val="20"/>
          <w:szCs w:val="20"/>
          <w:u w:val="single"/>
          <w:lang w:val="en-US"/>
        </w:rPr>
        <w:t>www.ey.com/Publication/vwLUAssets/ey-worldwide-estate-and-inheritance-tax-guide-2017/$File/ey-worldwide-estate-and-inheritance-tax-guide-2017.pdf</w:t>
      </w:r>
    </w:p>
    <w:p w:rsidR="00994D4C" w:rsidRPr="007422D9" w:rsidRDefault="00994D4C" w:rsidP="0016255F">
      <w:pPr>
        <w:pStyle w:val="Prrafodelista"/>
        <w:tabs>
          <w:tab w:val="left" w:pos="567"/>
        </w:tabs>
        <w:spacing w:before="240" w:after="240" w:line="360" w:lineRule="auto"/>
        <w:ind w:left="284"/>
        <w:jc w:val="both"/>
        <w:rPr>
          <w:rFonts w:ascii="Century" w:hAnsi="Century"/>
          <w:sz w:val="10"/>
          <w:szCs w:val="10"/>
          <w:lang w:val="en-US"/>
        </w:rPr>
      </w:pPr>
    </w:p>
    <w:p w:rsidR="00994D4C" w:rsidRDefault="00994D4C" w:rsidP="0016255F">
      <w:pPr>
        <w:pStyle w:val="Prrafodelista"/>
        <w:numPr>
          <w:ilvl w:val="0"/>
          <w:numId w:val="15"/>
        </w:numPr>
        <w:tabs>
          <w:tab w:val="left" w:pos="567"/>
        </w:tabs>
        <w:spacing w:before="240" w:after="240" w:line="360" w:lineRule="auto"/>
        <w:ind w:left="284" w:firstLine="0"/>
        <w:jc w:val="both"/>
        <w:rPr>
          <w:rFonts w:ascii="Century" w:hAnsi="Century" w:cs="Arial"/>
          <w:sz w:val="24"/>
          <w:szCs w:val="24"/>
        </w:rPr>
      </w:pPr>
      <w:r w:rsidRPr="00F67785">
        <w:rPr>
          <w:rFonts w:ascii="Century" w:hAnsi="Century" w:cs="Arial"/>
          <w:sz w:val="24"/>
          <w:szCs w:val="24"/>
        </w:rPr>
        <w:t>FALCÓN Y TELLA, R</w:t>
      </w:r>
      <w:r w:rsidRPr="00514069">
        <w:rPr>
          <w:rFonts w:cstheme="minorHAnsi"/>
          <w:sz w:val="24"/>
          <w:szCs w:val="24"/>
        </w:rPr>
        <w:t>:</w:t>
      </w:r>
      <w:r w:rsidRPr="00F67785">
        <w:rPr>
          <w:rFonts w:ascii="Century" w:hAnsi="Century" w:cs="Arial"/>
          <w:sz w:val="24"/>
          <w:szCs w:val="24"/>
        </w:rPr>
        <w:t xml:space="preserve"> “El Impuesto sobre Sucesiones y Donaciones y la libre circulación de capitales</w:t>
      </w:r>
      <w:r w:rsidRPr="00514069">
        <w:rPr>
          <w:rFonts w:cstheme="minorHAnsi"/>
          <w:sz w:val="24"/>
          <w:szCs w:val="24"/>
        </w:rPr>
        <w:t>:</w:t>
      </w:r>
      <w:r w:rsidRPr="00F67785">
        <w:rPr>
          <w:rFonts w:ascii="Century" w:hAnsi="Century" w:cs="Arial"/>
          <w:sz w:val="24"/>
          <w:szCs w:val="24"/>
        </w:rPr>
        <w:t xml:space="preserve"> una enmienda insuficiente”,</w:t>
      </w:r>
      <w:r>
        <w:rPr>
          <w:rFonts w:ascii="Century" w:hAnsi="Century" w:cs="Arial"/>
          <w:sz w:val="24"/>
          <w:szCs w:val="24"/>
        </w:rPr>
        <w:t xml:space="preserve"> </w:t>
      </w:r>
      <w:r w:rsidRPr="00F67785">
        <w:rPr>
          <w:rFonts w:ascii="Century" w:hAnsi="Century" w:cs="Arial"/>
          <w:i/>
          <w:sz w:val="24"/>
          <w:szCs w:val="24"/>
        </w:rPr>
        <w:t>Quincena Fiscal</w:t>
      </w:r>
      <w:r w:rsidRPr="00F67785">
        <w:rPr>
          <w:rFonts w:ascii="Century" w:hAnsi="Century" w:cs="Arial"/>
          <w:sz w:val="24"/>
          <w:szCs w:val="24"/>
        </w:rPr>
        <w:t>, nº 18, 2014.</w:t>
      </w:r>
    </w:p>
    <w:p w:rsidR="00994D4C" w:rsidRPr="008550FB" w:rsidRDefault="00994D4C" w:rsidP="0016255F">
      <w:pPr>
        <w:pStyle w:val="Prrafodelista"/>
        <w:tabs>
          <w:tab w:val="left" w:pos="567"/>
        </w:tabs>
        <w:spacing w:before="240" w:after="240" w:line="360" w:lineRule="auto"/>
        <w:ind w:left="284"/>
        <w:jc w:val="both"/>
        <w:rPr>
          <w:rFonts w:ascii="Century" w:hAnsi="Century" w:cs="Arial"/>
          <w:sz w:val="10"/>
          <w:szCs w:val="10"/>
        </w:rPr>
      </w:pPr>
    </w:p>
    <w:p w:rsidR="00994D4C" w:rsidRDefault="00994D4C" w:rsidP="0016255F">
      <w:pPr>
        <w:pStyle w:val="Prrafodelista"/>
        <w:numPr>
          <w:ilvl w:val="0"/>
          <w:numId w:val="15"/>
        </w:numPr>
        <w:tabs>
          <w:tab w:val="left" w:pos="567"/>
        </w:tabs>
        <w:spacing w:before="240" w:after="240" w:line="360" w:lineRule="auto"/>
        <w:ind w:left="284" w:firstLine="0"/>
        <w:jc w:val="both"/>
        <w:rPr>
          <w:rFonts w:ascii="Century" w:hAnsi="Century"/>
          <w:sz w:val="24"/>
          <w:szCs w:val="24"/>
        </w:rPr>
      </w:pPr>
      <w:r w:rsidRPr="00F67785">
        <w:rPr>
          <w:rFonts w:ascii="Century" w:hAnsi="Century"/>
          <w:sz w:val="24"/>
          <w:szCs w:val="24"/>
        </w:rPr>
        <w:lastRenderedPageBreak/>
        <w:t>FERNÁNDEZ JUNQUERA, M</w:t>
      </w:r>
      <w:r w:rsidRPr="00514069">
        <w:rPr>
          <w:rFonts w:cstheme="minorHAnsi"/>
          <w:sz w:val="24"/>
          <w:szCs w:val="24"/>
        </w:rPr>
        <w:t>:</w:t>
      </w:r>
      <w:r w:rsidRPr="00F67785">
        <w:rPr>
          <w:rFonts w:ascii="Century" w:hAnsi="Century"/>
          <w:sz w:val="24"/>
          <w:szCs w:val="24"/>
        </w:rPr>
        <w:t xml:space="preserve"> “Acerca del Impuesto sobre Sucesiones y Donaciones, no residentes y tutela judicial. A propósito de la Sentencia del TJUE de 3 de septiembre de 2014”</w:t>
      </w:r>
      <w:r>
        <w:rPr>
          <w:rFonts w:ascii="Century" w:hAnsi="Century"/>
          <w:sz w:val="24"/>
          <w:szCs w:val="24"/>
        </w:rPr>
        <w:t xml:space="preserve">, </w:t>
      </w:r>
      <w:r w:rsidRPr="00F67785">
        <w:rPr>
          <w:rFonts w:ascii="Century" w:hAnsi="Century"/>
          <w:i/>
          <w:sz w:val="24"/>
          <w:szCs w:val="24"/>
        </w:rPr>
        <w:t>Quincena Fiscal</w:t>
      </w:r>
      <w:r>
        <w:rPr>
          <w:rFonts w:ascii="Century" w:hAnsi="Century"/>
          <w:sz w:val="24"/>
          <w:szCs w:val="24"/>
        </w:rPr>
        <w:t>, nº11</w:t>
      </w:r>
      <w:r w:rsidRPr="00F67785">
        <w:rPr>
          <w:rFonts w:ascii="Century" w:hAnsi="Century"/>
          <w:sz w:val="24"/>
          <w:szCs w:val="24"/>
        </w:rPr>
        <w:t>, 2015.</w:t>
      </w:r>
    </w:p>
    <w:p w:rsidR="00994D4C" w:rsidRPr="008550FB" w:rsidRDefault="00994D4C" w:rsidP="0016255F">
      <w:pPr>
        <w:pStyle w:val="Prrafodelista"/>
        <w:tabs>
          <w:tab w:val="left" w:pos="567"/>
        </w:tabs>
        <w:spacing w:before="240" w:after="240" w:line="360" w:lineRule="auto"/>
        <w:ind w:left="284"/>
        <w:jc w:val="both"/>
        <w:rPr>
          <w:rFonts w:ascii="Century" w:hAnsi="Century"/>
          <w:sz w:val="10"/>
          <w:szCs w:val="10"/>
        </w:rPr>
      </w:pPr>
    </w:p>
    <w:p w:rsidR="00994D4C" w:rsidRDefault="00994D4C" w:rsidP="0016255F">
      <w:pPr>
        <w:pStyle w:val="Prrafodelista"/>
        <w:numPr>
          <w:ilvl w:val="0"/>
          <w:numId w:val="15"/>
        </w:numPr>
        <w:tabs>
          <w:tab w:val="left" w:pos="567"/>
        </w:tabs>
        <w:spacing w:before="240" w:after="240" w:line="360" w:lineRule="auto"/>
        <w:ind w:left="284" w:firstLine="0"/>
        <w:jc w:val="both"/>
        <w:rPr>
          <w:rFonts w:ascii="Century" w:hAnsi="Century"/>
          <w:sz w:val="24"/>
          <w:szCs w:val="24"/>
        </w:rPr>
      </w:pPr>
      <w:r w:rsidRPr="00F67785">
        <w:rPr>
          <w:rFonts w:ascii="Century" w:hAnsi="Century"/>
          <w:sz w:val="24"/>
          <w:szCs w:val="24"/>
        </w:rPr>
        <w:t>GARCÍA DE PABLOS, J. F</w:t>
      </w:r>
      <w:r w:rsidRPr="00514069">
        <w:rPr>
          <w:rFonts w:cstheme="minorHAnsi"/>
          <w:sz w:val="24"/>
          <w:szCs w:val="24"/>
        </w:rPr>
        <w:t>:</w:t>
      </w:r>
      <w:r w:rsidRPr="00F67785">
        <w:rPr>
          <w:rFonts w:ascii="Century" w:hAnsi="Century"/>
          <w:sz w:val="24"/>
          <w:szCs w:val="24"/>
        </w:rPr>
        <w:t xml:space="preserve"> “Encuentro de derecho financiero y tributario (3ª edición)</w:t>
      </w:r>
      <w:r w:rsidRPr="00514069">
        <w:rPr>
          <w:rFonts w:cstheme="minorHAnsi"/>
          <w:sz w:val="24"/>
          <w:szCs w:val="24"/>
        </w:rPr>
        <w:t>:</w:t>
      </w:r>
      <w:r w:rsidRPr="00F67785">
        <w:rPr>
          <w:rFonts w:ascii="Century" w:hAnsi="Century"/>
          <w:sz w:val="24"/>
          <w:szCs w:val="24"/>
        </w:rPr>
        <w:t xml:space="preserve"> “La reforma del sistema tributario español” (3ª parte)”, </w:t>
      </w:r>
      <w:r w:rsidRPr="00F67785">
        <w:rPr>
          <w:rFonts w:ascii="Century" w:hAnsi="Century"/>
          <w:i/>
          <w:sz w:val="24"/>
          <w:szCs w:val="24"/>
        </w:rPr>
        <w:t>Instituto de Estudios Fiscales</w:t>
      </w:r>
      <w:r w:rsidRPr="00F67785">
        <w:rPr>
          <w:rFonts w:ascii="Century" w:hAnsi="Century"/>
          <w:sz w:val="24"/>
          <w:szCs w:val="24"/>
        </w:rPr>
        <w:t>, nº11, 2015.</w:t>
      </w:r>
    </w:p>
    <w:p w:rsidR="00994D4C" w:rsidRPr="008550FB" w:rsidRDefault="00994D4C" w:rsidP="0016255F">
      <w:pPr>
        <w:pStyle w:val="Prrafodelista"/>
        <w:spacing w:before="240" w:after="240" w:line="360" w:lineRule="auto"/>
        <w:ind w:left="284"/>
        <w:jc w:val="both"/>
        <w:rPr>
          <w:rFonts w:ascii="Century" w:hAnsi="Century"/>
          <w:sz w:val="10"/>
          <w:szCs w:val="10"/>
        </w:rPr>
      </w:pPr>
    </w:p>
    <w:p w:rsidR="00994D4C" w:rsidRDefault="00994D4C" w:rsidP="0016255F">
      <w:pPr>
        <w:pStyle w:val="Prrafodelista"/>
        <w:numPr>
          <w:ilvl w:val="0"/>
          <w:numId w:val="15"/>
        </w:numPr>
        <w:tabs>
          <w:tab w:val="left" w:pos="851"/>
        </w:tabs>
        <w:spacing w:before="240" w:after="240" w:line="360" w:lineRule="auto"/>
        <w:ind w:left="567" w:firstLine="0"/>
        <w:jc w:val="both"/>
        <w:rPr>
          <w:rFonts w:ascii="Century" w:hAnsi="Century" w:cs="Times New Roman"/>
          <w:bCs/>
          <w:sz w:val="24"/>
          <w:szCs w:val="24"/>
        </w:rPr>
      </w:pPr>
      <w:r w:rsidRPr="00F67785">
        <w:rPr>
          <w:rFonts w:ascii="Century" w:hAnsi="Century" w:cs="Times New Roman"/>
          <w:bCs/>
          <w:sz w:val="24"/>
          <w:szCs w:val="24"/>
        </w:rPr>
        <w:t xml:space="preserve">“La reforma de la imposición patrimonial en España”, </w:t>
      </w:r>
      <w:r w:rsidRPr="00F67785">
        <w:rPr>
          <w:rFonts w:ascii="Century" w:hAnsi="Century" w:cs="Times New Roman"/>
          <w:bCs/>
          <w:i/>
          <w:sz w:val="24"/>
          <w:szCs w:val="24"/>
        </w:rPr>
        <w:t>Revista Aranzadi Doctrinal</w:t>
      </w:r>
      <w:r>
        <w:rPr>
          <w:rFonts w:ascii="Century" w:hAnsi="Century" w:cs="Times New Roman"/>
          <w:bCs/>
          <w:sz w:val="24"/>
          <w:szCs w:val="24"/>
        </w:rPr>
        <w:t>, nº 11</w:t>
      </w:r>
      <w:r w:rsidRPr="00F67785">
        <w:rPr>
          <w:rFonts w:ascii="Century" w:hAnsi="Century" w:cs="Times New Roman"/>
          <w:bCs/>
          <w:sz w:val="24"/>
          <w:szCs w:val="24"/>
        </w:rPr>
        <w:t>, 2014.</w:t>
      </w:r>
    </w:p>
    <w:p w:rsidR="00994D4C" w:rsidRPr="008550FB" w:rsidRDefault="00994D4C" w:rsidP="0016255F">
      <w:pPr>
        <w:pStyle w:val="Prrafodelista"/>
        <w:tabs>
          <w:tab w:val="left" w:pos="851"/>
        </w:tabs>
        <w:spacing w:before="240" w:after="240" w:line="360" w:lineRule="auto"/>
        <w:ind w:left="567"/>
        <w:jc w:val="both"/>
        <w:rPr>
          <w:rFonts w:ascii="Century" w:hAnsi="Century" w:cs="Times New Roman"/>
          <w:bCs/>
          <w:sz w:val="10"/>
          <w:szCs w:val="10"/>
        </w:rPr>
      </w:pPr>
    </w:p>
    <w:p w:rsidR="00994D4C" w:rsidRPr="006F62F0" w:rsidRDefault="00994D4C" w:rsidP="0016255F">
      <w:pPr>
        <w:pStyle w:val="Prrafodelista"/>
        <w:numPr>
          <w:ilvl w:val="0"/>
          <w:numId w:val="15"/>
        </w:numPr>
        <w:tabs>
          <w:tab w:val="left" w:pos="851"/>
        </w:tabs>
        <w:spacing w:before="240" w:after="240" w:line="360" w:lineRule="auto"/>
        <w:ind w:left="567" w:firstLine="0"/>
        <w:jc w:val="both"/>
        <w:rPr>
          <w:rFonts w:ascii="Century" w:hAnsi="Century" w:cs="Times New Roman"/>
          <w:bCs/>
          <w:sz w:val="24"/>
          <w:szCs w:val="24"/>
        </w:rPr>
      </w:pPr>
      <w:r w:rsidRPr="00F67785">
        <w:rPr>
          <w:rFonts w:ascii="Century" w:hAnsi="Century"/>
          <w:sz w:val="24"/>
          <w:szCs w:val="24"/>
        </w:rPr>
        <w:t xml:space="preserve">“La urgente reforma del impuesto sobre sucesiones y donaciones en Espala a la luz del derecho comunitario”, </w:t>
      </w:r>
      <w:r w:rsidRPr="00F67785">
        <w:rPr>
          <w:rFonts w:ascii="Century" w:hAnsi="Century"/>
          <w:i/>
          <w:sz w:val="24"/>
          <w:szCs w:val="24"/>
        </w:rPr>
        <w:t>Quincena Fiscal</w:t>
      </w:r>
      <w:r w:rsidRPr="00F67785">
        <w:rPr>
          <w:rFonts w:ascii="Century" w:hAnsi="Century"/>
          <w:sz w:val="24"/>
          <w:szCs w:val="24"/>
        </w:rPr>
        <w:t xml:space="preserve">, </w:t>
      </w:r>
      <w:r>
        <w:rPr>
          <w:rFonts w:ascii="Century" w:hAnsi="Century"/>
          <w:sz w:val="24"/>
          <w:szCs w:val="24"/>
        </w:rPr>
        <w:t>nº 18</w:t>
      </w:r>
      <w:r w:rsidRPr="00F67785">
        <w:rPr>
          <w:rFonts w:ascii="Century" w:hAnsi="Century"/>
          <w:sz w:val="24"/>
          <w:szCs w:val="24"/>
        </w:rPr>
        <w:t>, 2014.</w:t>
      </w:r>
    </w:p>
    <w:p w:rsidR="00994D4C" w:rsidRPr="008550FB" w:rsidRDefault="00994D4C" w:rsidP="0016255F">
      <w:pPr>
        <w:pStyle w:val="Prrafodelista"/>
        <w:tabs>
          <w:tab w:val="left" w:pos="851"/>
        </w:tabs>
        <w:spacing w:before="240" w:after="240" w:line="360" w:lineRule="auto"/>
        <w:ind w:left="284"/>
        <w:jc w:val="both"/>
        <w:rPr>
          <w:rFonts w:ascii="Century" w:hAnsi="Century" w:cs="Times New Roman"/>
          <w:bCs/>
          <w:sz w:val="10"/>
          <w:szCs w:val="10"/>
        </w:rPr>
      </w:pPr>
    </w:p>
    <w:p w:rsidR="00994D4C" w:rsidRDefault="00994D4C" w:rsidP="0016255F">
      <w:pPr>
        <w:pStyle w:val="Prrafodelista"/>
        <w:numPr>
          <w:ilvl w:val="0"/>
          <w:numId w:val="15"/>
        </w:numPr>
        <w:tabs>
          <w:tab w:val="left" w:pos="567"/>
          <w:tab w:val="left" w:pos="851"/>
        </w:tabs>
        <w:spacing w:before="240" w:after="240" w:line="360" w:lineRule="auto"/>
        <w:ind w:left="284" w:firstLine="0"/>
        <w:jc w:val="both"/>
        <w:rPr>
          <w:rFonts w:ascii="Century" w:hAnsi="Century" w:cs="Arial"/>
          <w:sz w:val="24"/>
          <w:szCs w:val="24"/>
        </w:rPr>
      </w:pPr>
      <w:r w:rsidRPr="00F67785">
        <w:rPr>
          <w:rFonts w:ascii="Century" w:hAnsi="Century" w:cs="Arial"/>
          <w:sz w:val="24"/>
          <w:szCs w:val="24"/>
        </w:rPr>
        <w:t>GARCÍA PRATS, F.A</w:t>
      </w:r>
      <w:r w:rsidRPr="00514069">
        <w:rPr>
          <w:rFonts w:cstheme="minorHAnsi"/>
          <w:sz w:val="24"/>
          <w:szCs w:val="24"/>
        </w:rPr>
        <w:t>:</w:t>
      </w:r>
      <w:r w:rsidRPr="00F67785">
        <w:rPr>
          <w:rFonts w:ascii="Century" w:hAnsi="Century" w:cs="Arial"/>
          <w:sz w:val="24"/>
          <w:szCs w:val="24"/>
        </w:rPr>
        <w:t xml:space="preserve"> “El Derecho de la Unión Europea ante la encrucijada sobre el Impuesto sobre Sucesiones y Donaciones español”, </w:t>
      </w:r>
      <w:r w:rsidRPr="00F67785">
        <w:rPr>
          <w:rFonts w:ascii="Century" w:hAnsi="Century" w:cs="Arial"/>
          <w:i/>
          <w:sz w:val="24"/>
          <w:szCs w:val="24"/>
        </w:rPr>
        <w:t>Revista española de derecho financiero</w:t>
      </w:r>
      <w:r w:rsidRPr="00F67785">
        <w:rPr>
          <w:rFonts w:ascii="Century" w:hAnsi="Century" w:cs="Arial"/>
          <w:sz w:val="24"/>
          <w:szCs w:val="24"/>
        </w:rPr>
        <w:t xml:space="preserve">, nº 164, </w:t>
      </w:r>
      <w:proofErr w:type="spellStart"/>
      <w:r w:rsidRPr="00F67785">
        <w:rPr>
          <w:rFonts w:ascii="Century" w:hAnsi="Century" w:cs="Arial"/>
          <w:sz w:val="24"/>
          <w:szCs w:val="24"/>
        </w:rPr>
        <w:t>Civitas</w:t>
      </w:r>
      <w:proofErr w:type="spellEnd"/>
      <w:r w:rsidRPr="00F67785">
        <w:rPr>
          <w:rFonts w:ascii="Century" w:hAnsi="Century" w:cs="Arial"/>
          <w:sz w:val="24"/>
          <w:szCs w:val="24"/>
        </w:rPr>
        <w:t>, 2014.</w:t>
      </w:r>
    </w:p>
    <w:p w:rsidR="00994D4C" w:rsidRPr="008550FB" w:rsidRDefault="00994D4C" w:rsidP="0016255F">
      <w:pPr>
        <w:pStyle w:val="Prrafodelista"/>
        <w:tabs>
          <w:tab w:val="left" w:pos="567"/>
        </w:tabs>
        <w:spacing w:before="240" w:after="240" w:line="360" w:lineRule="auto"/>
        <w:ind w:left="284"/>
        <w:jc w:val="both"/>
        <w:rPr>
          <w:rFonts w:ascii="Century" w:hAnsi="Century" w:cs="Arial"/>
          <w:sz w:val="10"/>
          <w:szCs w:val="10"/>
        </w:rPr>
      </w:pPr>
    </w:p>
    <w:p w:rsidR="00994D4C" w:rsidRDefault="00994D4C" w:rsidP="0016255F">
      <w:pPr>
        <w:pStyle w:val="Prrafodelista"/>
        <w:numPr>
          <w:ilvl w:val="0"/>
          <w:numId w:val="15"/>
        </w:numPr>
        <w:tabs>
          <w:tab w:val="left" w:pos="567"/>
        </w:tabs>
        <w:spacing w:before="240" w:after="240" w:line="360" w:lineRule="auto"/>
        <w:ind w:left="284" w:firstLine="0"/>
        <w:jc w:val="both"/>
        <w:rPr>
          <w:rFonts w:ascii="Century" w:hAnsi="Century"/>
          <w:sz w:val="24"/>
          <w:szCs w:val="24"/>
        </w:rPr>
      </w:pPr>
      <w:r w:rsidRPr="00F67785">
        <w:rPr>
          <w:rFonts w:ascii="Century" w:hAnsi="Century"/>
          <w:sz w:val="24"/>
          <w:szCs w:val="24"/>
        </w:rPr>
        <w:t>GARMÓN FIDALGO, J. A</w:t>
      </w:r>
      <w:r w:rsidRPr="00514069">
        <w:rPr>
          <w:rFonts w:cstheme="minorHAnsi"/>
          <w:sz w:val="24"/>
          <w:szCs w:val="24"/>
        </w:rPr>
        <w:t>:</w:t>
      </w:r>
      <w:r w:rsidRPr="00F67785">
        <w:rPr>
          <w:rFonts w:ascii="Century" w:hAnsi="Century"/>
          <w:sz w:val="24"/>
          <w:szCs w:val="24"/>
        </w:rPr>
        <w:t xml:space="preserve"> “El principio constitucional de igualdad en materia tributaria”, Ed. Aranzadi, online, 2000.</w:t>
      </w:r>
    </w:p>
    <w:p w:rsidR="00994D4C" w:rsidRPr="008550FB" w:rsidRDefault="00994D4C" w:rsidP="0016255F">
      <w:pPr>
        <w:pStyle w:val="Prrafodelista"/>
        <w:tabs>
          <w:tab w:val="left" w:pos="567"/>
        </w:tabs>
        <w:spacing w:before="240" w:after="240" w:line="360" w:lineRule="auto"/>
        <w:ind w:left="284"/>
        <w:jc w:val="both"/>
        <w:rPr>
          <w:rStyle w:val="CitaHTML"/>
          <w:rFonts w:ascii="Century" w:hAnsi="Century"/>
          <w:i w:val="0"/>
          <w:sz w:val="10"/>
          <w:szCs w:val="10"/>
          <w:lang w:val="en-US"/>
        </w:rPr>
      </w:pPr>
    </w:p>
    <w:p w:rsidR="0016255F" w:rsidRPr="0016255F" w:rsidRDefault="00994D4C" w:rsidP="0016255F">
      <w:pPr>
        <w:pStyle w:val="Prrafodelista"/>
        <w:numPr>
          <w:ilvl w:val="0"/>
          <w:numId w:val="15"/>
        </w:numPr>
        <w:tabs>
          <w:tab w:val="left" w:pos="142"/>
          <w:tab w:val="left" w:pos="567"/>
        </w:tabs>
        <w:spacing w:before="240" w:after="0" w:line="360" w:lineRule="auto"/>
        <w:ind w:left="284" w:firstLine="0"/>
        <w:jc w:val="both"/>
        <w:rPr>
          <w:rStyle w:val="CitaHTML"/>
          <w:rFonts w:ascii="Century" w:hAnsi="Century"/>
          <w:u w:val="single"/>
        </w:rPr>
      </w:pPr>
      <w:r w:rsidRPr="0016255F">
        <w:rPr>
          <w:rFonts w:ascii="Century" w:hAnsi="Century"/>
          <w:sz w:val="24"/>
          <w:szCs w:val="24"/>
        </w:rPr>
        <w:t xml:space="preserve">GONZÁLEZ </w:t>
      </w:r>
      <w:proofErr w:type="spellStart"/>
      <w:r w:rsidRPr="0016255F">
        <w:rPr>
          <w:rFonts w:ascii="Century" w:hAnsi="Century"/>
          <w:sz w:val="24"/>
          <w:szCs w:val="24"/>
        </w:rPr>
        <w:t>GONZÁLEZ</w:t>
      </w:r>
      <w:proofErr w:type="spellEnd"/>
      <w:r w:rsidRPr="0016255F">
        <w:rPr>
          <w:rFonts w:ascii="Century" w:hAnsi="Century"/>
          <w:sz w:val="24"/>
          <w:szCs w:val="24"/>
        </w:rPr>
        <w:t>, A. I</w:t>
      </w:r>
      <w:r w:rsidRPr="0016255F">
        <w:rPr>
          <w:rFonts w:cstheme="minorHAnsi"/>
          <w:sz w:val="24"/>
          <w:szCs w:val="24"/>
        </w:rPr>
        <w:t>:</w:t>
      </w:r>
      <w:r w:rsidRPr="0016255F">
        <w:rPr>
          <w:rFonts w:ascii="Century" w:hAnsi="Century"/>
          <w:sz w:val="24"/>
          <w:szCs w:val="24"/>
        </w:rPr>
        <w:t xml:space="preserve"> “L</w:t>
      </w:r>
      <w:r w:rsidRPr="0016255F">
        <w:rPr>
          <w:rFonts w:ascii="Century" w:hAnsi="Century" w:cs="Times-Bold"/>
          <w:bCs/>
          <w:sz w:val="24"/>
          <w:szCs w:val="24"/>
        </w:rPr>
        <w:t xml:space="preserve">a corresponsabilidad fiscal de las Comunidades Autónomas. Un balance”, </w:t>
      </w:r>
      <w:proofErr w:type="spellStart"/>
      <w:r w:rsidRPr="0016255F">
        <w:rPr>
          <w:rFonts w:ascii="Century" w:hAnsi="Century" w:cs="Helvetica-Oblique"/>
          <w:i/>
          <w:iCs/>
          <w:sz w:val="24"/>
          <w:szCs w:val="24"/>
        </w:rPr>
        <w:t>Entemu</w:t>
      </w:r>
      <w:proofErr w:type="spellEnd"/>
      <w:r w:rsidRPr="0016255F">
        <w:rPr>
          <w:rFonts w:ascii="Century" w:hAnsi="Century" w:cs="Helvetica-Oblique"/>
          <w:i/>
          <w:iCs/>
          <w:sz w:val="24"/>
          <w:szCs w:val="24"/>
        </w:rPr>
        <w:t>, Revista de la UNED</w:t>
      </w:r>
      <w:r w:rsidRPr="0016255F">
        <w:rPr>
          <w:rFonts w:ascii="Century" w:hAnsi="Century" w:cs="Helvetica-Oblique"/>
          <w:iCs/>
          <w:sz w:val="24"/>
          <w:szCs w:val="24"/>
        </w:rPr>
        <w:t xml:space="preserve">, 2000. </w:t>
      </w:r>
      <w:r w:rsidRPr="0016255F">
        <w:rPr>
          <w:rStyle w:val="CitaHTML"/>
          <w:rFonts w:ascii="Century" w:hAnsi="Century"/>
          <w:u w:val="single"/>
        </w:rPr>
        <w:t>www2.uned.es/ca-gijon/web/actividades/publica/entemu00/a4.pdf</w:t>
      </w:r>
    </w:p>
    <w:p w:rsidR="0016255F" w:rsidRPr="0016255F" w:rsidRDefault="0016255F" w:rsidP="0016255F">
      <w:pPr>
        <w:pStyle w:val="Prrafodelista"/>
        <w:spacing w:before="240" w:after="0" w:line="360" w:lineRule="auto"/>
        <w:ind w:left="851"/>
        <w:jc w:val="both"/>
        <w:rPr>
          <w:rStyle w:val="CitaHTML"/>
          <w:rFonts w:ascii="Century" w:hAnsi="Century"/>
          <w:i w:val="0"/>
          <w:iCs w:val="0"/>
          <w:sz w:val="10"/>
          <w:szCs w:val="10"/>
        </w:rPr>
      </w:pPr>
    </w:p>
    <w:p w:rsidR="00B95B9B" w:rsidRPr="0016255F" w:rsidRDefault="00B10587" w:rsidP="0016255F">
      <w:pPr>
        <w:pStyle w:val="Prrafodelista"/>
        <w:spacing w:before="240" w:after="0" w:line="360" w:lineRule="auto"/>
        <w:ind w:left="567"/>
        <w:jc w:val="both"/>
        <w:rPr>
          <w:rFonts w:ascii="Century" w:hAnsi="Century"/>
          <w:sz w:val="24"/>
          <w:szCs w:val="24"/>
        </w:rPr>
      </w:pPr>
      <w:r w:rsidRPr="0016255F">
        <w:rPr>
          <w:rFonts w:ascii="Century" w:hAnsi="Century"/>
          <w:sz w:val="24"/>
          <w:szCs w:val="24"/>
        </w:rPr>
        <w:t>-</w:t>
      </w:r>
      <w:r w:rsidR="00B95B9B" w:rsidRPr="0016255F">
        <w:rPr>
          <w:rFonts w:ascii="Century" w:hAnsi="Century"/>
          <w:sz w:val="24"/>
          <w:szCs w:val="24"/>
        </w:rPr>
        <w:t xml:space="preserve"> “Armonización fiscal y aproximación de los sistemas fiscales”, </w:t>
      </w:r>
      <w:r w:rsidR="00B95B9B" w:rsidRPr="0016255F">
        <w:rPr>
          <w:rFonts w:ascii="Century" w:hAnsi="Century"/>
          <w:i/>
          <w:sz w:val="24"/>
          <w:szCs w:val="24"/>
        </w:rPr>
        <w:t>Cuadernos sobre integración europea fiscal y económica</w:t>
      </w:r>
      <w:r w:rsidR="00B95B9B" w:rsidRPr="0016255F">
        <w:rPr>
          <w:rFonts w:ascii="Century" w:hAnsi="Century"/>
          <w:sz w:val="24"/>
          <w:szCs w:val="24"/>
        </w:rPr>
        <w:t>, Ediciones de la Universidad de Oviedo, Oviedo, 2016.</w:t>
      </w:r>
    </w:p>
    <w:p w:rsidR="00B95B9B" w:rsidRPr="00B10587" w:rsidRDefault="00B95B9B" w:rsidP="0016255F">
      <w:pPr>
        <w:pStyle w:val="Prrafodelista"/>
        <w:spacing w:before="240" w:line="360" w:lineRule="auto"/>
        <w:ind w:left="567"/>
        <w:jc w:val="both"/>
        <w:rPr>
          <w:rStyle w:val="CitaHTML"/>
          <w:rFonts w:ascii="Century" w:hAnsi="Century"/>
          <w:i w:val="0"/>
          <w:sz w:val="20"/>
          <w:szCs w:val="20"/>
          <w:lang w:val="en-US"/>
        </w:rPr>
      </w:pPr>
      <w:r w:rsidRPr="006A75BB">
        <w:rPr>
          <w:rStyle w:val="CitaHTML"/>
          <w:rFonts w:ascii="Century" w:hAnsi="Century"/>
          <w:sz w:val="20"/>
          <w:szCs w:val="20"/>
          <w:u w:val="single"/>
          <w:lang w:val="en-US"/>
        </w:rPr>
        <w:t>digibuo.uniovi.es/dspace/bitstream/10651/40726/1/Cuaderno_Jean_Monnet_3-2.pdf</w:t>
      </w:r>
    </w:p>
    <w:p w:rsidR="00994D4C" w:rsidRPr="00B95B9B" w:rsidRDefault="00994D4C" w:rsidP="0016255F">
      <w:pPr>
        <w:pStyle w:val="Prrafodelista"/>
        <w:spacing w:before="240" w:after="240" w:line="360" w:lineRule="auto"/>
        <w:ind w:left="284"/>
        <w:jc w:val="both"/>
        <w:rPr>
          <w:rStyle w:val="CitaHTML"/>
          <w:rFonts w:ascii="Century" w:hAnsi="Century"/>
          <w:i w:val="0"/>
          <w:sz w:val="10"/>
          <w:szCs w:val="10"/>
          <w:lang w:val="en-US"/>
        </w:rPr>
      </w:pPr>
    </w:p>
    <w:p w:rsidR="00994D4C" w:rsidRPr="00F67785" w:rsidRDefault="00994D4C" w:rsidP="0059205E">
      <w:pPr>
        <w:pStyle w:val="Prrafodelista"/>
        <w:numPr>
          <w:ilvl w:val="0"/>
          <w:numId w:val="15"/>
        </w:numPr>
        <w:tabs>
          <w:tab w:val="left" w:pos="567"/>
        </w:tabs>
        <w:spacing w:before="240" w:after="240" w:line="360" w:lineRule="auto"/>
        <w:ind w:left="284" w:firstLine="0"/>
        <w:jc w:val="both"/>
        <w:rPr>
          <w:rFonts w:ascii="Century" w:hAnsi="Century"/>
          <w:sz w:val="24"/>
          <w:szCs w:val="24"/>
        </w:rPr>
      </w:pPr>
      <w:r w:rsidRPr="00F67785">
        <w:rPr>
          <w:rFonts w:ascii="Century" w:hAnsi="Century"/>
          <w:sz w:val="24"/>
          <w:szCs w:val="24"/>
        </w:rPr>
        <w:t>HUESCA BOADILLA, R</w:t>
      </w:r>
      <w:r w:rsidRPr="00514069">
        <w:rPr>
          <w:rFonts w:cstheme="minorHAnsi"/>
          <w:sz w:val="24"/>
          <w:szCs w:val="24"/>
        </w:rPr>
        <w:t>:</w:t>
      </w:r>
      <w:r w:rsidRPr="00F67785">
        <w:rPr>
          <w:rFonts w:ascii="Century" w:hAnsi="Century"/>
          <w:sz w:val="24"/>
          <w:szCs w:val="24"/>
        </w:rPr>
        <w:t xml:space="preserve"> “</w:t>
      </w:r>
      <w:r w:rsidRPr="00F67785">
        <w:rPr>
          <w:rFonts w:ascii="Century" w:hAnsi="Century" w:cs="Helvetica Condensed"/>
          <w:bCs/>
          <w:color w:val="000000"/>
          <w:sz w:val="24"/>
          <w:szCs w:val="24"/>
        </w:rPr>
        <w:t xml:space="preserve">El patrimonio preexistente negativo del causahabiente como factor determinante de la cuota tributaria del Impuesto sobre Sucesiones y Donaciones”. </w:t>
      </w:r>
      <w:r w:rsidRPr="00F67785">
        <w:rPr>
          <w:rFonts w:ascii="Century" w:hAnsi="Century"/>
          <w:i/>
          <w:sz w:val="24"/>
          <w:szCs w:val="24"/>
        </w:rPr>
        <w:t>Boletín Informativo Tributario BIT plus, Registradores de España</w:t>
      </w:r>
      <w:r w:rsidRPr="00F67785">
        <w:rPr>
          <w:rFonts w:ascii="Century" w:hAnsi="Century"/>
          <w:sz w:val="24"/>
          <w:szCs w:val="24"/>
        </w:rPr>
        <w:t>, nº 205, 2017.</w:t>
      </w:r>
    </w:p>
    <w:p w:rsidR="00994D4C" w:rsidRPr="006A75BB" w:rsidRDefault="00994D4C" w:rsidP="0059205E">
      <w:pPr>
        <w:pStyle w:val="Prrafodelista"/>
        <w:tabs>
          <w:tab w:val="left" w:pos="567"/>
        </w:tabs>
        <w:spacing w:before="240" w:after="240" w:line="360" w:lineRule="auto"/>
        <w:ind w:left="284"/>
        <w:jc w:val="both"/>
        <w:rPr>
          <w:rStyle w:val="CitaHTML"/>
          <w:rFonts w:ascii="Century" w:hAnsi="Century"/>
          <w:i w:val="0"/>
          <w:sz w:val="20"/>
          <w:szCs w:val="20"/>
        </w:rPr>
      </w:pPr>
      <w:r w:rsidRPr="006A75BB">
        <w:rPr>
          <w:rStyle w:val="CitaHTML"/>
          <w:rFonts w:ascii="Century" w:hAnsi="Century"/>
          <w:sz w:val="20"/>
          <w:szCs w:val="20"/>
          <w:u w:val="single"/>
        </w:rPr>
        <w:t>www.registradores.org/wp-content/uploads/BitplusPDF/BITplus_205.pdf</w:t>
      </w:r>
    </w:p>
    <w:p w:rsidR="00994D4C" w:rsidRPr="008550FB" w:rsidRDefault="00994D4C" w:rsidP="0059205E">
      <w:pPr>
        <w:pStyle w:val="Prrafodelista"/>
        <w:tabs>
          <w:tab w:val="left" w:pos="567"/>
        </w:tabs>
        <w:spacing w:before="240" w:after="240" w:line="360" w:lineRule="auto"/>
        <w:ind w:left="284"/>
        <w:jc w:val="both"/>
        <w:rPr>
          <w:rFonts w:ascii="Century" w:hAnsi="Century"/>
          <w:sz w:val="10"/>
          <w:szCs w:val="10"/>
        </w:rPr>
      </w:pPr>
    </w:p>
    <w:p w:rsidR="00994D4C" w:rsidRDefault="00994D4C" w:rsidP="0059205E">
      <w:pPr>
        <w:pStyle w:val="Prrafodelista"/>
        <w:numPr>
          <w:ilvl w:val="0"/>
          <w:numId w:val="15"/>
        </w:numPr>
        <w:tabs>
          <w:tab w:val="left" w:pos="567"/>
        </w:tabs>
        <w:spacing w:before="240" w:after="240" w:line="360" w:lineRule="auto"/>
        <w:ind w:left="284" w:firstLine="0"/>
        <w:jc w:val="both"/>
        <w:rPr>
          <w:rFonts w:ascii="Century" w:hAnsi="Century"/>
          <w:sz w:val="24"/>
          <w:szCs w:val="24"/>
        </w:rPr>
      </w:pPr>
      <w:r w:rsidRPr="00F67785">
        <w:rPr>
          <w:rFonts w:ascii="Century" w:hAnsi="Century"/>
          <w:sz w:val="24"/>
          <w:szCs w:val="24"/>
        </w:rPr>
        <w:lastRenderedPageBreak/>
        <w:t>IGLESIAS CASAIS, J. M</w:t>
      </w:r>
      <w:r w:rsidRPr="00514069">
        <w:rPr>
          <w:rFonts w:cstheme="minorHAnsi"/>
          <w:sz w:val="24"/>
          <w:szCs w:val="24"/>
        </w:rPr>
        <w:t>:</w:t>
      </w:r>
      <w:r w:rsidRPr="00F67785">
        <w:rPr>
          <w:rFonts w:ascii="Century" w:hAnsi="Century"/>
          <w:sz w:val="24"/>
          <w:szCs w:val="24"/>
        </w:rPr>
        <w:t xml:space="preserve"> </w:t>
      </w:r>
      <w:r w:rsidRPr="00F67785">
        <w:rPr>
          <w:rFonts w:ascii="Century" w:hAnsi="Century"/>
          <w:i/>
          <w:sz w:val="24"/>
          <w:szCs w:val="24"/>
        </w:rPr>
        <w:t>No discriminación fiscal y derecho de establecimiento en la Unión Europea</w:t>
      </w:r>
      <w:r w:rsidRPr="00F67785">
        <w:rPr>
          <w:rFonts w:ascii="Century" w:hAnsi="Century"/>
          <w:sz w:val="24"/>
          <w:szCs w:val="24"/>
        </w:rPr>
        <w:t>, Ed. Aranzadi, SA, Pamplona, 2007.</w:t>
      </w:r>
    </w:p>
    <w:p w:rsidR="00994D4C" w:rsidRPr="008550FB" w:rsidRDefault="00994D4C" w:rsidP="0059205E">
      <w:pPr>
        <w:pStyle w:val="Prrafodelista"/>
        <w:tabs>
          <w:tab w:val="left" w:pos="567"/>
        </w:tabs>
        <w:spacing w:before="240" w:after="240" w:line="360" w:lineRule="auto"/>
        <w:ind w:left="284"/>
        <w:jc w:val="both"/>
        <w:rPr>
          <w:rFonts w:ascii="Century" w:hAnsi="Century"/>
          <w:sz w:val="10"/>
          <w:szCs w:val="10"/>
        </w:rPr>
      </w:pPr>
    </w:p>
    <w:p w:rsidR="00994D4C" w:rsidRDefault="00994D4C" w:rsidP="0059205E">
      <w:pPr>
        <w:pStyle w:val="Prrafodelista"/>
        <w:numPr>
          <w:ilvl w:val="0"/>
          <w:numId w:val="15"/>
        </w:numPr>
        <w:tabs>
          <w:tab w:val="left" w:pos="567"/>
        </w:tabs>
        <w:spacing w:before="240" w:after="240" w:line="360" w:lineRule="auto"/>
        <w:ind w:left="284" w:firstLine="0"/>
        <w:jc w:val="both"/>
        <w:rPr>
          <w:rFonts w:ascii="Century" w:hAnsi="Century"/>
          <w:sz w:val="24"/>
          <w:szCs w:val="24"/>
        </w:rPr>
      </w:pPr>
      <w:r w:rsidRPr="00F67785">
        <w:rPr>
          <w:rFonts w:ascii="Century" w:hAnsi="Century"/>
          <w:sz w:val="24"/>
          <w:szCs w:val="24"/>
        </w:rPr>
        <w:t>LAGO MONTERO, J.M</w:t>
      </w:r>
      <w:r w:rsidRPr="00514069">
        <w:rPr>
          <w:rFonts w:cstheme="minorHAnsi"/>
          <w:sz w:val="24"/>
          <w:szCs w:val="24"/>
        </w:rPr>
        <w:t>:</w:t>
      </w:r>
      <w:r w:rsidRPr="00F67785">
        <w:rPr>
          <w:rFonts w:ascii="Century" w:hAnsi="Century"/>
          <w:sz w:val="24"/>
          <w:szCs w:val="24"/>
        </w:rPr>
        <w:t xml:space="preserve"> </w:t>
      </w:r>
      <w:r w:rsidRPr="00F67785">
        <w:rPr>
          <w:rFonts w:ascii="Century" w:hAnsi="Century"/>
          <w:i/>
          <w:sz w:val="24"/>
          <w:szCs w:val="24"/>
        </w:rPr>
        <w:t>El poder tributario de las Comunidades Autónomas,</w:t>
      </w:r>
      <w:r w:rsidR="0016255F">
        <w:rPr>
          <w:rFonts w:ascii="Century" w:hAnsi="Century"/>
          <w:sz w:val="24"/>
          <w:szCs w:val="24"/>
        </w:rPr>
        <w:t xml:space="preserve"> Ed. Aranzadi, Navarra, 2000.</w:t>
      </w:r>
    </w:p>
    <w:p w:rsidR="0016255F" w:rsidRPr="0016255F" w:rsidRDefault="0016255F" w:rsidP="0059205E">
      <w:pPr>
        <w:pStyle w:val="Prrafodelista"/>
        <w:tabs>
          <w:tab w:val="left" w:pos="567"/>
        </w:tabs>
        <w:spacing w:before="240" w:after="240" w:line="360" w:lineRule="auto"/>
        <w:ind w:left="284"/>
        <w:jc w:val="both"/>
        <w:rPr>
          <w:rFonts w:ascii="Century" w:hAnsi="Century"/>
          <w:sz w:val="10"/>
          <w:szCs w:val="10"/>
        </w:rPr>
      </w:pPr>
    </w:p>
    <w:p w:rsidR="00994D4C" w:rsidRDefault="00994D4C" w:rsidP="0059205E">
      <w:pPr>
        <w:pStyle w:val="Prrafodelista"/>
        <w:numPr>
          <w:ilvl w:val="0"/>
          <w:numId w:val="15"/>
        </w:numPr>
        <w:tabs>
          <w:tab w:val="left" w:pos="567"/>
        </w:tabs>
        <w:spacing w:before="240" w:after="240" w:line="360" w:lineRule="auto"/>
        <w:ind w:left="284" w:firstLine="0"/>
        <w:jc w:val="both"/>
        <w:rPr>
          <w:rFonts w:ascii="Century" w:hAnsi="Century"/>
          <w:sz w:val="24"/>
          <w:szCs w:val="24"/>
        </w:rPr>
      </w:pPr>
      <w:r w:rsidRPr="00F67785">
        <w:rPr>
          <w:rFonts w:ascii="Century" w:hAnsi="Century"/>
          <w:sz w:val="24"/>
          <w:szCs w:val="24"/>
        </w:rPr>
        <w:t>LEÓN GUTIÉRREZ, A, ESCOBAR GALLO, H y GUTIÉRREZ LONDOÑO, E.E</w:t>
      </w:r>
      <w:r w:rsidRPr="00514069">
        <w:rPr>
          <w:rFonts w:cstheme="minorHAnsi"/>
          <w:sz w:val="24"/>
          <w:szCs w:val="24"/>
        </w:rPr>
        <w:t>:</w:t>
      </w:r>
      <w:r w:rsidRPr="00F67785">
        <w:rPr>
          <w:rFonts w:ascii="Century" w:hAnsi="Century"/>
          <w:sz w:val="24"/>
          <w:szCs w:val="24"/>
        </w:rPr>
        <w:t xml:space="preserve"> </w:t>
      </w:r>
      <w:r w:rsidRPr="00F67785">
        <w:rPr>
          <w:rFonts w:ascii="Century" w:hAnsi="Century"/>
          <w:i/>
          <w:sz w:val="24"/>
          <w:szCs w:val="24"/>
        </w:rPr>
        <w:t>Hacienda Pública. Un enfoque económico</w:t>
      </w:r>
      <w:r w:rsidRPr="00F67785">
        <w:rPr>
          <w:rFonts w:ascii="Century" w:hAnsi="Century"/>
          <w:sz w:val="24"/>
          <w:szCs w:val="24"/>
        </w:rPr>
        <w:t>, Sello Editorial, Colombia, 2007.</w:t>
      </w:r>
    </w:p>
    <w:p w:rsidR="00994D4C" w:rsidRPr="008550FB" w:rsidRDefault="00994D4C" w:rsidP="0059205E">
      <w:pPr>
        <w:pStyle w:val="Prrafodelista"/>
        <w:tabs>
          <w:tab w:val="left" w:pos="567"/>
        </w:tabs>
        <w:spacing w:before="240" w:after="240" w:line="360" w:lineRule="auto"/>
        <w:ind w:left="284"/>
        <w:jc w:val="both"/>
        <w:rPr>
          <w:rFonts w:ascii="Century" w:hAnsi="Century"/>
          <w:sz w:val="10"/>
          <w:szCs w:val="10"/>
        </w:rPr>
      </w:pPr>
    </w:p>
    <w:p w:rsidR="00994D4C" w:rsidRDefault="00994D4C" w:rsidP="0059205E">
      <w:pPr>
        <w:pStyle w:val="Prrafodelista"/>
        <w:numPr>
          <w:ilvl w:val="0"/>
          <w:numId w:val="15"/>
        </w:numPr>
        <w:tabs>
          <w:tab w:val="left" w:pos="567"/>
        </w:tabs>
        <w:spacing w:before="240" w:after="240" w:line="360" w:lineRule="auto"/>
        <w:ind w:left="284" w:firstLine="0"/>
        <w:jc w:val="both"/>
        <w:rPr>
          <w:rFonts w:ascii="Century" w:hAnsi="Century"/>
          <w:sz w:val="24"/>
          <w:szCs w:val="24"/>
        </w:rPr>
      </w:pPr>
      <w:r w:rsidRPr="00F67785">
        <w:rPr>
          <w:rFonts w:ascii="Century" w:hAnsi="Century"/>
          <w:sz w:val="24"/>
          <w:szCs w:val="24"/>
        </w:rPr>
        <w:t>MARTÍN ROMÁN, J y DEL BLANCO GARCÍA, Á</w:t>
      </w:r>
      <w:r w:rsidRPr="00514069">
        <w:rPr>
          <w:rFonts w:cstheme="minorHAnsi"/>
          <w:sz w:val="24"/>
          <w:szCs w:val="24"/>
        </w:rPr>
        <w:t>:</w:t>
      </w:r>
      <w:r w:rsidRPr="00F67785">
        <w:rPr>
          <w:rFonts w:ascii="Century" w:hAnsi="Century"/>
          <w:sz w:val="24"/>
          <w:szCs w:val="24"/>
        </w:rPr>
        <w:t xml:space="preserve"> “La problemática de las sucesiones transfronterizas en Europa”, </w:t>
      </w:r>
      <w:r w:rsidRPr="00F67785">
        <w:rPr>
          <w:rFonts w:ascii="Century" w:hAnsi="Century"/>
          <w:i/>
          <w:sz w:val="24"/>
          <w:szCs w:val="24"/>
        </w:rPr>
        <w:t>Crónica Tributaria</w:t>
      </w:r>
      <w:r w:rsidRPr="00F67785">
        <w:rPr>
          <w:rFonts w:ascii="Century" w:hAnsi="Century"/>
          <w:sz w:val="24"/>
          <w:szCs w:val="24"/>
        </w:rPr>
        <w:t>, nº 151, 2014.</w:t>
      </w:r>
    </w:p>
    <w:p w:rsidR="00994D4C" w:rsidRPr="008550FB" w:rsidRDefault="00994D4C" w:rsidP="0059205E">
      <w:pPr>
        <w:pStyle w:val="Prrafodelista"/>
        <w:tabs>
          <w:tab w:val="left" w:pos="567"/>
        </w:tabs>
        <w:spacing w:before="240" w:after="240" w:line="360" w:lineRule="auto"/>
        <w:ind w:left="284"/>
        <w:jc w:val="both"/>
        <w:rPr>
          <w:rFonts w:ascii="Century" w:hAnsi="Century"/>
          <w:sz w:val="10"/>
          <w:szCs w:val="10"/>
        </w:rPr>
      </w:pPr>
    </w:p>
    <w:p w:rsidR="00B10587" w:rsidRDefault="00994D4C" w:rsidP="0059205E">
      <w:pPr>
        <w:pStyle w:val="Prrafodelista"/>
        <w:numPr>
          <w:ilvl w:val="0"/>
          <w:numId w:val="15"/>
        </w:numPr>
        <w:tabs>
          <w:tab w:val="left" w:pos="567"/>
        </w:tabs>
        <w:spacing w:before="240" w:after="240" w:line="360" w:lineRule="auto"/>
        <w:ind w:left="284" w:firstLine="0"/>
        <w:jc w:val="both"/>
        <w:rPr>
          <w:rFonts w:ascii="Century" w:hAnsi="Century" w:cs="Arial"/>
          <w:sz w:val="24"/>
          <w:szCs w:val="24"/>
        </w:rPr>
      </w:pPr>
      <w:r w:rsidRPr="00F67785">
        <w:rPr>
          <w:rFonts w:ascii="Century" w:hAnsi="Century" w:cs="Arial"/>
          <w:sz w:val="24"/>
          <w:szCs w:val="24"/>
        </w:rPr>
        <w:t>MENÉNDEZ MORENO, A</w:t>
      </w:r>
      <w:r w:rsidRPr="00514069">
        <w:rPr>
          <w:rFonts w:cstheme="minorHAnsi"/>
          <w:sz w:val="24"/>
          <w:szCs w:val="24"/>
        </w:rPr>
        <w:t>:</w:t>
      </w:r>
      <w:r w:rsidRPr="00F67785">
        <w:rPr>
          <w:rFonts w:ascii="Century" w:hAnsi="Century" w:cs="Arial"/>
          <w:sz w:val="24"/>
          <w:szCs w:val="24"/>
        </w:rPr>
        <w:t xml:space="preserve"> “¡Pobres Residentes!”, </w:t>
      </w:r>
      <w:r w:rsidRPr="00F67785">
        <w:rPr>
          <w:rFonts w:ascii="Century" w:hAnsi="Century" w:cs="Arial"/>
          <w:i/>
          <w:sz w:val="24"/>
          <w:szCs w:val="24"/>
        </w:rPr>
        <w:t>Quincena Fiscal</w:t>
      </w:r>
      <w:r w:rsidR="00B10587">
        <w:rPr>
          <w:rFonts w:ascii="Century" w:hAnsi="Century" w:cs="Arial"/>
          <w:sz w:val="24"/>
          <w:szCs w:val="24"/>
        </w:rPr>
        <w:t xml:space="preserve">, </w:t>
      </w:r>
    </w:p>
    <w:p w:rsidR="00994D4C" w:rsidRDefault="00B10587" w:rsidP="0059205E">
      <w:pPr>
        <w:pStyle w:val="Prrafodelista"/>
        <w:tabs>
          <w:tab w:val="left" w:pos="567"/>
        </w:tabs>
        <w:spacing w:before="240" w:after="240" w:line="360" w:lineRule="auto"/>
        <w:ind w:left="284"/>
        <w:jc w:val="both"/>
        <w:rPr>
          <w:rFonts w:ascii="Century" w:hAnsi="Century" w:cs="Arial"/>
          <w:sz w:val="24"/>
          <w:szCs w:val="24"/>
        </w:rPr>
      </w:pPr>
      <w:r>
        <w:rPr>
          <w:rFonts w:ascii="Century" w:hAnsi="Century" w:cs="Arial"/>
          <w:sz w:val="24"/>
          <w:szCs w:val="24"/>
        </w:rPr>
        <w:t>nº 19</w:t>
      </w:r>
      <w:r w:rsidR="00994D4C" w:rsidRPr="00F67785">
        <w:rPr>
          <w:rFonts w:ascii="Century" w:hAnsi="Century" w:cs="Arial"/>
          <w:sz w:val="24"/>
          <w:szCs w:val="24"/>
        </w:rPr>
        <w:t>, 2014.</w:t>
      </w:r>
    </w:p>
    <w:p w:rsidR="00994D4C" w:rsidRPr="008550FB" w:rsidRDefault="00994D4C" w:rsidP="0059205E">
      <w:pPr>
        <w:pStyle w:val="Prrafodelista"/>
        <w:tabs>
          <w:tab w:val="left" w:pos="567"/>
        </w:tabs>
        <w:spacing w:before="240" w:after="240" w:line="360" w:lineRule="auto"/>
        <w:ind w:left="284"/>
        <w:jc w:val="both"/>
        <w:rPr>
          <w:rFonts w:ascii="Century" w:hAnsi="Century" w:cs="Arial"/>
          <w:sz w:val="10"/>
          <w:szCs w:val="10"/>
        </w:rPr>
      </w:pPr>
    </w:p>
    <w:p w:rsidR="00994D4C" w:rsidRDefault="00994D4C" w:rsidP="0059205E">
      <w:pPr>
        <w:pStyle w:val="Prrafodelista"/>
        <w:numPr>
          <w:ilvl w:val="0"/>
          <w:numId w:val="15"/>
        </w:numPr>
        <w:tabs>
          <w:tab w:val="left" w:pos="567"/>
        </w:tabs>
        <w:spacing w:before="240" w:after="240" w:line="360" w:lineRule="auto"/>
        <w:ind w:left="284" w:firstLine="0"/>
        <w:jc w:val="both"/>
        <w:rPr>
          <w:rFonts w:ascii="Century" w:hAnsi="Century" w:cs="DIOHL G+ Times"/>
          <w:bCs/>
          <w:sz w:val="24"/>
          <w:szCs w:val="24"/>
        </w:rPr>
      </w:pPr>
      <w:r w:rsidRPr="00F67785">
        <w:rPr>
          <w:rFonts w:ascii="Century" w:hAnsi="Century"/>
          <w:sz w:val="24"/>
          <w:szCs w:val="24"/>
        </w:rPr>
        <w:t>MUT AGUILAR, I y UTANDE SAN JUAN, J. Mª</w:t>
      </w:r>
      <w:r w:rsidRPr="00514069">
        <w:rPr>
          <w:rFonts w:cstheme="minorHAnsi"/>
          <w:sz w:val="24"/>
          <w:szCs w:val="24"/>
        </w:rPr>
        <w:t>:</w:t>
      </w:r>
      <w:r w:rsidRPr="00F67785">
        <w:rPr>
          <w:rFonts w:ascii="Century" w:hAnsi="Century"/>
          <w:sz w:val="24"/>
          <w:szCs w:val="24"/>
        </w:rPr>
        <w:t xml:space="preserve"> “</w:t>
      </w:r>
      <w:r w:rsidRPr="00F67785">
        <w:rPr>
          <w:rFonts w:ascii="Century" w:hAnsi="Century" w:cs="DIOHL G+ Times"/>
          <w:bCs/>
          <w:sz w:val="24"/>
          <w:szCs w:val="24"/>
        </w:rPr>
        <w:t xml:space="preserve">Autonomía y Corresponsabilidad en el nuevo sistema de financiación autonómica”, </w:t>
      </w:r>
      <w:r w:rsidRPr="00F67785">
        <w:rPr>
          <w:rFonts w:ascii="Century" w:hAnsi="Century" w:cs="DIOHL G+ Times"/>
          <w:bCs/>
          <w:i/>
          <w:sz w:val="24"/>
          <w:szCs w:val="24"/>
        </w:rPr>
        <w:t>Instituto de Estudios Fiscales. Presupuesto y gasto público</w:t>
      </w:r>
      <w:r w:rsidRPr="00F67785">
        <w:rPr>
          <w:rFonts w:ascii="Century" w:hAnsi="Century" w:cs="DIOHL G+ Times"/>
          <w:bCs/>
          <w:sz w:val="24"/>
          <w:szCs w:val="24"/>
        </w:rPr>
        <w:t>, Ed. Ministerio de Hacienda, Servicio de Publicaciones, 2011.</w:t>
      </w:r>
    </w:p>
    <w:p w:rsidR="00994D4C" w:rsidRPr="008550FB" w:rsidRDefault="00994D4C" w:rsidP="0059205E">
      <w:pPr>
        <w:pStyle w:val="Prrafodelista"/>
        <w:tabs>
          <w:tab w:val="left" w:pos="567"/>
        </w:tabs>
        <w:spacing w:before="240" w:after="240" w:line="360" w:lineRule="auto"/>
        <w:ind w:left="284"/>
        <w:jc w:val="both"/>
        <w:rPr>
          <w:rFonts w:ascii="Century" w:hAnsi="Century" w:cs="DIOHL G+ Times"/>
          <w:bCs/>
          <w:sz w:val="10"/>
          <w:szCs w:val="10"/>
        </w:rPr>
      </w:pPr>
    </w:p>
    <w:p w:rsidR="00994D4C" w:rsidRDefault="00994D4C" w:rsidP="0059205E">
      <w:pPr>
        <w:pStyle w:val="Prrafodelista"/>
        <w:numPr>
          <w:ilvl w:val="0"/>
          <w:numId w:val="15"/>
        </w:numPr>
        <w:tabs>
          <w:tab w:val="left" w:pos="567"/>
        </w:tabs>
        <w:spacing w:before="240" w:after="240" w:line="360" w:lineRule="auto"/>
        <w:ind w:left="284" w:firstLine="0"/>
        <w:jc w:val="both"/>
        <w:rPr>
          <w:rFonts w:ascii="Century" w:hAnsi="Century"/>
          <w:sz w:val="24"/>
          <w:szCs w:val="24"/>
        </w:rPr>
      </w:pPr>
      <w:r w:rsidRPr="00F67785">
        <w:rPr>
          <w:rFonts w:ascii="Century" w:hAnsi="Century"/>
          <w:sz w:val="24"/>
          <w:szCs w:val="24"/>
        </w:rPr>
        <w:t>NÚÑEZ GRAÑÓN, M</w:t>
      </w:r>
      <w:r w:rsidRPr="00514069">
        <w:rPr>
          <w:rFonts w:cstheme="minorHAnsi"/>
          <w:sz w:val="24"/>
          <w:szCs w:val="24"/>
        </w:rPr>
        <w:t>:</w:t>
      </w:r>
      <w:r w:rsidRPr="00F67785">
        <w:rPr>
          <w:rFonts w:ascii="Century" w:hAnsi="Century"/>
          <w:sz w:val="24"/>
          <w:szCs w:val="24"/>
        </w:rPr>
        <w:t xml:space="preserve"> </w:t>
      </w:r>
      <w:r w:rsidRPr="00F67785">
        <w:rPr>
          <w:rFonts w:ascii="Century" w:hAnsi="Century"/>
          <w:i/>
          <w:sz w:val="24"/>
          <w:szCs w:val="24"/>
        </w:rPr>
        <w:t>Las desigualdades tributarias por razones familiares y de residencia</w:t>
      </w:r>
      <w:r>
        <w:rPr>
          <w:rFonts w:ascii="Century" w:hAnsi="Century"/>
          <w:sz w:val="24"/>
          <w:szCs w:val="24"/>
        </w:rPr>
        <w:t>, Ed</w:t>
      </w:r>
      <w:r>
        <w:rPr>
          <w:rFonts w:cstheme="minorHAnsi"/>
          <w:sz w:val="24"/>
          <w:szCs w:val="24"/>
        </w:rPr>
        <w:t>.</w:t>
      </w:r>
      <w:r w:rsidRPr="00F67785">
        <w:rPr>
          <w:rFonts w:ascii="Century" w:hAnsi="Century"/>
          <w:sz w:val="24"/>
          <w:szCs w:val="24"/>
        </w:rPr>
        <w:t xml:space="preserve"> Marcial Pons, Madrid, 1998.</w:t>
      </w:r>
    </w:p>
    <w:p w:rsidR="00994D4C" w:rsidRPr="008550FB" w:rsidRDefault="00994D4C" w:rsidP="0059205E">
      <w:pPr>
        <w:pStyle w:val="Prrafodelista"/>
        <w:tabs>
          <w:tab w:val="left" w:pos="567"/>
        </w:tabs>
        <w:spacing w:before="240" w:after="240" w:line="360" w:lineRule="auto"/>
        <w:ind w:left="284"/>
        <w:jc w:val="both"/>
        <w:rPr>
          <w:rFonts w:ascii="Century" w:hAnsi="Century"/>
          <w:sz w:val="10"/>
          <w:szCs w:val="10"/>
        </w:rPr>
      </w:pPr>
    </w:p>
    <w:p w:rsidR="00994D4C" w:rsidRDefault="00994D4C" w:rsidP="0059205E">
      <w:pPr>
        <w:pStyle w:val="Prrafodelista"/>
        <w:numPr>
          <w:ilvl w:val="0"/>
          <w:numId w:val="15"/>
        </w:numPr>
        <w:tabs>
          <w:tab w:val="left" w:pos="567"/>
        </w:tabs>
        <w:spacing w:before="240" w:after="240" w:line="360" w:lineRule="auto"/>
        <w:ind w:left="284" w:firstLine="0"/>
        <w:jc w:val="both"/>
        <w:rPr>
          <w:rFonts w:ascii="Century" w:hAnsi="Century"/>
          <w:sz w:val="24"/>
          <w:szCs w:val="24"/>
        </w:rPr>
      </w:pPr>
      <w:r w:rsidRPr="00F67785">
        <w:rPr>
          <w:rFonts w:ascii="Century" w:hAnsi="Century"/>
          <w:sz w:val="24"/>
          <w:szCs w:val="24"/>
        </w:rPr>
        <w:t>PÉREZ ROYO, F</w:t>
      </w:r>
      <w:r w:rsidRPr="00514069">
        <w:rPr>
          <w:rFonts w:cstheme="minorHAnsi"/>
          <w:sz w:val="24"/>
          <w:szCs w:val="24"/>
        </w:rPr>
        <w:t>:</w:t>
      </w:r>
      <w:r w:rsidRPr="00F67785">
        <w:rPr>
          <w:rFonts w:ascii="Century" w:hAnsi="Century"/>
          <w:sz w:val="24"/>
          <w:szCs w:val="24"/>
        </w:rPr>
        <w:t xml:space="preserve"> “Los principios constitucionales sobre el tributo”, Ed. Aranzadi, online, 2015.</w:t>
      </w:r>
    </w:p>
    <w:p w:rsidR="00994D4C" w:rsidRPr="008550FB" w:rsidRDefault="00994D4C" w:rsidP="0059205E">
      <w:pPr>
        <w:pStyle w:val="Prrafodelista"/>
        <w:tabs>
          <w:tab w:val="left" w:pos="567"/>
        </w:tabs>
        <w:spacing w:before="240" w:after="240" w:line="360" w:lineRule="auto"/>
        <w:ind w:left="284"/>
        <w:jc w:val="both"/>
        <w:rPr>
          <w:rFonts w:ascii="Century" w:hAnsi="Century"/>
          <w:sz w:val="10"/>
          <w:szCs w:val="10"/>
        </w:rPr>
      </w:pPr>
    </w:p>
    <w:p w:rsidR="00994D4C" w:rsidRDefault="00994D4C" w:rsidP="0059205E">
      <w:pPr>
        <w:pStyle w:val="Prrafodelista"/>
        <w:numPr>
          <w:ilvl w:val="0"/>
          <w:numId w:val="15"/>
        </w:numPr>
        <w:tabs>
          <w:tab w:val="left" w:pos="567"/>
        </w:tabs>
        <w:spacing w:before="240" w:after="240" w:line="360" w:lineRule="auto"/>
        <w:ind w:left="284" w:firstLine="0"/>
        <w:jc w:val="both"/>
        <w:rPr>
          <w:rFonts w:ascii="Century" w:hAnsi="Century"/>
          <w:sz w:val="24"/>
          <w:szCs w:val="24"/>
        </w:rPr>
      </w:pPr>
      <w:r w:rsidRPr="00F67785">
        <w:rPr>
          <w:rFonts w:ascii="Century" w:hAnsi="Century" w:cs="Arial"/>
          <w:sz w:val="24"/>
          <w:szCs w:val="24"/>
        </w:rPr>
        <w:t>PÉREZ-BUSTAMANTE YÁBAR, D y DÍAZ GARCÍA, H</w:t>
      </w:r>
      <w:r w:rsidRPr="00514069">
        <w:rPr>
          <w:rFonts w:cstheme="minorHAnsi"/>
          <w:sz w:val="24"/>
          <w:szCs w:val="24"/>
        </w:rPr>
        <w:t>:</w:t>
      </w:r>
      <w:r w:rsidRPr="00F67785">
        <w:rPr>
          <w:rFonts w:ascii="Century" w:hAnsi="Century" w:cs="Arial"/>
          <w:sz w:val="24"/>
          <w:szCs w:val="24"/>
        </w:rPr>
        <w:t xml:space="preserve"> “</w:t>
      </w:r>
      <w:r w:rsidRPr="00F67785">
        <w:rPr>
          <w:rFonts w:ascii="Century" w:hAnsi="Century"/>
          <w:sz w:val="24"/>
          <w:szCs w:val="24"/>
        </w:rPr>
        <w:t xml:space="preserve">Implicaciones en el tratamiento legislativo del ISD tras la sentencia del tribunal de justicia de la </w:t>
      </w:r>
      <w:r w:rsidRPr="00994D4C">
        <w:rPr>
          <w:rFonts w:ascii="Century" w:hAnsi="Century"/>
          <w:sz w:val="24"/>
          <w:szCs w:val="24"/>
        </w:rPr>
        <w:t>Unión Europea, de 3 de Septiembre de 2014</w:t>
      </w:r>
      <w:r w:rsidRPr="00994D4C">
        <w:rPr>
          <w:rFonts w:ascii="Century" w:hAnsi="Century" w:cs="Arial"/>
          <w:sz w:val="24"/>
          <w:szCs w:val="24"/>
        </w:rPr>
        <w:t xml:space="preserve">”, </w:t>
      </w:r>
      <w:hyperlink r:id="rId14" w:history="1">
        <w:r w:rsidRPr="00994D4C">
          <w:rPr>
            <w:rStyle w:val="Hipervnculo"/>
            <w:rFonts w:ascii="Century" w:hAnsi="Century"/>
            <w:i/>
            <w:color w:val="auto"/>
            <w:sz w:val="24"/>
            <w:szCs w:val="24"/>
            <w:u w:val="none"/>
          </w:rPr>
          <w:t>Quincena fiscal</w:t>
        </w:r>
      </w:hyperlink>
      <w:r w:rsidRPr="00994D4C">
        <w:rPr>
          <w:rFonts w:ascii="Century" w:hAnsi="Century"/>
          <w:sz w:val="24"/>
          <w:szCs w:val="24"/>
        </w:rPr>
        <w:t xml:space="preserve">, </w:t>
      </w:r>
      <w:hyperlink r:id="rId15" w:history="1">
        <w:r w:rsidRPr="00994D4C">
          <w:rPr>
            <w:rStyle w:val="Hipervnculo"/>
            <w:rFonts w:ascii="Century" w:hAnsi="Century"/>
            <w:color w:val="auto"/>
            <w:sz w:val="24"/>
            <w:szCs w:val="24"/>
            <w:u w:val="none"/>
          </w:rPr>
          <w:t>nº 13, 2015</w:t>
        </w:r>
      </w:hyperlink>
      <w:r w:rsidRPr="00994D4C">
        <w:rPr>
          <w:rFonts w:ascii="Century" w:hAnsi="Century"/>
          <w:sz w:val="24"/>
          <w:szCs w:val="24"/>
        </w:rPr>
        <w:t>.</w:t>
      </w:r>
    </w:p>
    <w:p w:rsidR="00994D4C" w:rsidRPr="008550FB" w:rsidRDefault="00994D4C" w:rsidP="0059205E">
      <w:pPr>
        <w:pStyle w:val="Prrafodelista"/>
        <w:tabs>
          <w:tab w:val="left" w:pos="567"/>
        </w:tabs>
        <w:spacing w:before="240" w:after="240" w:line="360" w:lineRule="auto"/>
        <w:ind w:left="284"/>
        <w:jc w:val="both"/>
        <w:rPr>
          <w:rFonts w:ascii="Century" w:hAnsi="Century"/>
          <w:sz w:val="10"/>
          <w:szCs w:val="10"/>
        </w:rPr>
      </w:pPr>
    </w:p>
    <w:p w:rsidR="003008B9" w:rsidRDefault="00994D4C" w:rsidP="0059205E">
      <w:pPr>
        <w:pStyle w:val="Prrafodelista"/>
        <w:numPr>
          <w:ilvl w:val="0"/>
          <w:numId w:val="15"/>
        </w:numPr>
        <w:tabs>
          <w:tab w:val="left" w:pos="567"/>
        </w:tabs>
        <w:spacing w:before="240" w:after="240" w:line="360" w:lineRule="auto"/>
        <w:ind w:left="284" w:firstLine="0"/>
        <w:jc w:val="both"/>
        <w:rPr>
          <w:rFonts w:ascii="Century" w:hAnsi="Century"/>
          <w:sz w:val="24"/>
          <w:szCs w:val="24"/>
        </w:rPr>
      </w:pPr>
      <w:r w:rsidRPr="00F67785">
        <w:rPr>
          <w:rFonts w:ascii="Century" w:hAnsi="Century"/>
          <w:sz w:val="24"/>
          <w:szCs w:val="24"/>
        </w:rPr>
        <w:t xml:space="preserve">POZA CID, R </w:t>
      </w:r>
      <w:r w:rsidRPr="00081D4A">
        <w:rPr>
          <w:rFonts w:ascii="Century" w:hAnsi="Century"/>
          <w:sz w:val="24"/>
          <w:szCs w:val="24"/>
        </w:rPr>
        <w:t>y</w:t>
      </w:r>
      <w:r w:rsidRPr="00F67785">
        <w:rPr>
          <w:rFonts w:ascii="Century" w:hAnsi="Century"/>
          <w:sz w:val="24"/>
          <w:szCs w:val="24"/>
        </w:rPr>
        <w:t xml:space="preserve"> SANTAELLA VALLEJO, M</w:t>
      </w:r>
      <w:r w:rsidRPr="00514069">
        <w:rPr>
          <w:rFonts w:cstheme="minorHAnsi"/>
          <w:sz w:val="24"/>
          <w:szCs w:val="24"/>
        </w:rPr>
        <w:t>:</w:t>
      </w:r>
      <w:r w:rsidRPr="00F67785">
        <w:rPr>
          <w:rFonts w:ascii="Century" w:hAnsi="Century"/>
          <w:sz w:val="24"/>
          <w:szCs w:val="24"/>
        </w:rPr>
        <w:t xml:space="preserve"> “La coordinación de la fiscalidad directa en la Unión Europea”, </w:t>
      </w:r>
      <w:r w:rsidRPr="00F67785">
        <w:rPr>
          <w:rFonts w:ascii="Century" w:hAnsi="Century"/>
          <w:i/>
          <w:sz w:val="24"/>
          <w:szCs w:val="24"/>
        </w:rPr>
        <w:t>Crónica Tributaria</w:t>
      </w:r>
      <w:r w:rsidRPr="00F67785">
        <w:rPr>
          <w:rFonts w:ascii="Century" w:hAnsi="Century"/>
          <w:sz w:val="24"/>
          <w:szCs w:val="24"/>
        </w:rPr>
        <w:t>, nº 137, 2010.</w:t>
      </w:r>
    </w:p>
    <w:p w:rsidR="003008B9" w:rsidRPr="003008B9" w:rsidRDefault="003008B9" w:rsidP="0059205E">
      <w:pPr>
        <w:pStyle w:val="Prrafodelista"/>
        <w:tabs>
          <w:tab w:val="left" w:pos="567"/>
        </w:tabs>
        <w:spacing w:before="240"/>
        <w:rPr>
          <w:rFonts w:ascii="Century" w:hAnsi="Century"/>
          <w:sz w:val="24"/>
          <w:szCs w:val="24"/>
        </w:rPr>
      </w:pPr>
    </w:p>
    <w:p w:rsidR="00994D4C" w:rsidRPr="003008B9" w:rsidRDefault="00994D4C" w:rsidP="0059205E">
      <w:pPr>
        <w:pStyle w:val="Prrafodelista"/>
        <w:numPr>
          <w:ilvl w:val="0"/>
          <w:numId w:val="15"/>
        </w:numPr>
        <w:tabs>
          <w:tab w:val="left" w:pos="567"/>
        </w:tabs>
        <w:spacing w:before="240" w:after="240" w:line="360" w:lineRule="auto"/>
        <w:ind w:left="284" w:firstLine="0"/>
        <w:jc w:val="both"/>
        <w:rPr>
          <w:rStyle w:val="CitaHTML"/>
          <w:rFonts w:ascii="Century" w:hAnsi="Century"/>
          <w:i w:val="0"/>
          <w:iCs w:val="0"/>
          <w:sz w:val="24"/>
          <w:szCs w:val="24"/>
        </w:rPr>
      </w:pPr>
      <w:r w:rsidRPr="003008B9">
        <w:rPr>
          <w:rFonts w:ascii="Century" w:hAnsi="Century"/>
          <w:sz w:val="24"/>
          <w:szCs w:val="24"/>
        </w:rPr>
        <w:lastRenderedPageBreak/>
        <w:t xml:space="preserve">RIBES </w:t>
      </w:r>
      <w:proofErr w:type="spellStart"/>
      <w:r w:rsidRPr="003008B9">
        <w:rPr>
          <w:rFonts w:ascii="Century" w:hAnsi="Century"/>
          <w:sz w:val="24"/>
          <w:szCs w:val="24"/>
        </w:rPr>
        <w:t>RIBES</w:t>
      </w:r>
      <w:proofErr w:type="spellEnd"/>
      <w:r w:rsidRPr="003008B9">
        <w:rPr>
          <w:rFonts w:ascii="Century" w:hAnsi="Century"/>
          <w:sz w:val="24"/>
          <w:szCs w:val="24"/>
        </w:rPr>
        <w:t>, A</w:t>
      </w:r>
      <w:r w:rsidRPr="003008B9">
        <w:rPr>
          <w:rFonts w:cstheme="minorHAnsi"/>
          <w:sz w:val="24"/>
          <w:szCs w:val="24"/>
        </w:rPr>
        <w:t>:</w:t>
      </w:r>
      <w:r w:rsidRPr="003008B9">
        <w:rPr>
          <w:rFonts w:ascii="Century" w:hAnsi="Century"/>
          <w:sz w:val="24"/>
          <w:szCs w:val="24"/>
        </w:rPr>
        <w:t xml:space="preserve"> </w:t>
      </w:r>
      <w:r w:rsidRPr="003008B9">
        <w:rPr>
          <w:rFonts w:ascii="Century" w:hAnsi="Century"/>
          <w:i/>
          <w:sz w:val="24"/>
          <w:szCs w:val="24"/>
        </w:rPr>
        <w:t>Armonización versus coordinación fiscal</w:t>
      </w:r>
      <w:r w:rsidRPr="003008B9">
        <w:rPr>
          <w:rFonts w:cstheme="minorHAnsi"/>
          <w:i/>
          <w:sz w:val="24"/>
          <w:szCs w:val="24"/>
        </w:rPr>
        <w:t>:</w:t>
      </w:r>
      <w:r w:rsidRPr="003008B9">
        <w:rPr>
          <w:rFonts w:ascii="Century" w:hAnsi="Century"/>
          <w:i/>
          <w:sz w:val="24"/>
          <w:szCs w:val="24"/>
        </w:rPr>
        <w:t xml:space="preserve"> imposición sucesoria, patrimonial y </w:t>
      </w:r>
      <w:proofErr w:type="spellStart"/>
      <w:r w:rsidRPr="003008B9">
        <w:rPr>
          <w:rFonts w:ascii="Century" w:hAnsi="Century"/>
          <w:i/>
          <w:sz w:val="24"/>
          <w:szCs w:val="24"/>
        </w:rPr>
        <w:t>exittaxes</w:t>
      </w:r>
      <w:proofErr w:type="spellEnd"/>
      <w:r w:rsidRPr="003008B9">
        <w:rPr>
          <w:rFonts w:ascii="Century" w:hAnsi="Century"/>
          <w:sz w:val="24"/>
          <w:szCs w:val="24"/>
        </w:rPr>
        <w:t>, Ediciones de la Universidad de Oviedo, Oviedo, 2017.</w:t>
      </w:r>
    </w:p>
    <w:p w:rsidR="00994D4C" w:rsidRDefault="003008B9" w:rsidP="0059205E">
      <w:pPr>
        <w:spacing w:after="0" w:line="360" w:lineRule="auto"/>
        <w:ind w:left="567"/>
        <w:jc w:val="both"/>
        <w:rPr>
          <w:rFonts w:ascii="Century" w:hAnsi="Century"/>
          <w:sz w:val="24"/>
          <w:szCs w:val="24"/>
        </w:rPr>
      </w:pPr>
      <w:r w:rsidRPr="003008B9">
        <w:rPr>
          <w:rFonts w:ascii="Century" w:eastAsiaTheme="minorHAnsi" w:hAnsi="Century"/>
          <w:i/>
          <w:sz w:val="24"/>
          <w:szCs w:val="24"/>
          <w:lang w:eastAsia="en-US"/>
        </w:rPr>
        <w:t xml:space="preserve"> </w:t>
      </w:r>
      <w:r>
        <w:rPr>
          <w:rFonts w:ascii="Century" w:hAnsi="Century"/>
          <w:i/>
          <w:sz w:val="24"/>
          <w:szCs w:val="24"/>
        </w:rPr>
        <w:t xml:space="preserve">- </w:t>
      </w:r>
      <w:r w:rsidR="00994D4C" w:rsidRPr="003008B9">
        <w:rPr>
          <w:rFonts w:ascii="Century" w:hAnsi="Century"/>
          <w:i/>
          <w:sz w:val="24"/>
          <w:szCs w:val="24"/>
        </w:rPr>
        <w:t>Normas armonizadoras en el Impuesto sobre Sucesiones y Donaciones</w:t>
      </w:r>
      <w:r w:rsidR="00994D4C" w:rsidRPr="003008B9">
        <w:rPr>
          <w:rFonts w:ascii="Century" w:hAnsi="Century"/>
          <w:sz w:val="24"/>
          <w:szCs w:val="24"/>
        </w:rPr>
        <w:t>, Ed. Thomson Reuters Aranzadi, Pamplona, 2013.</w:t>
      </w:r>
    </w:p>
    <w:p w:rsidR="0059205E" w:rsidRPr="0059205E" w:rsidRDefault="0059205E" w:rsidP="0059205E">
      <w:pPr>
        <w:spacing w:after="0" w:line="360" w:lineRule="auto"/>
        <w:ind w:left="567"/>
        <w:jc w:val="both"/>
        <w:rPr>
          <w:rFonts w:ascii="Century" w:hAnsi="Century"/>
          <w:sz w:val="10"/>
          <w:szCs w:val="10"/>
        </w:rPr>
      </w:pPr>
    </w:p>
    <w:p w:rsidR="00994D4C" w:rsidRDefault="00994D4C" w:rsidP="0059205E">
      <w:pPr>
        <w:pStyle w:val="Prrafodelista"/>
        <w:numPr>
          <w:ilvl w:val="0"/>
          <w:numId w:val="15"/>
        </w:numPr>
        <w:tabs>
          <w:tab w:val="left" w:pos="567"/>
        </w:tabs>
        <w:spacing w:after="240" w:line="360" w:lineRule="auto"/>
        <w:ind w:left="284" w:firstLine="0"/>
        <w:jc w:val="both"/>
        <w:rPr>
          <w:rFonts w:ascii="Century" w:hAnsi="Century" w:cs="Arial"/>
          <w:bCs/>
          <w:sz w:val="24"/>
          <w:szCs w:val="24"/>
        </w:rPr>
      </w:pPr>
      <w:r w:rsidRPr="00F67785">
        <w:rPr>
          <w:rFonts w:ascii="Century" w:hAnsi="Century" w:cs="Arial"/>
          <w:bCs/>
          <w:sz w:val="24"/>
          <w:szCs w:val="24"/>
        </w:rPr>
        <w:t>RODRÍGUEZ ONDARZA, J. A</w:t>
      </w:r>
      <w:r w:rsidRPr="00514069">
        <w:rPr>
          <w:rFonts w:cstheme="minorHAnsi"/>
          <w:bCs/>
          <w:sz w:val="24"/>
          <w:szCs w:val="24"/>
        </w:rPr>
        <w:t>:</w:t>
      </w:r>
      <w:r w:rsidRPr="00F67785">
        <w:rPr>
          <w:rFonts w:ascii="Century" w:hAnsi="Century" w:cs="Arial"/>
          <w:bCs/>
          <w:sz w:val="24"/>
          <w:szCs w:val="24"/>
        </w:rPr>
        <w:t xml:space="preserve"> “Los efectos de la fiscalidad en el marco de los convenios de doble imposición internacional</w:t>
      </w:r>
      <w:r w:rsidRPr="00514069">
        <w:rPr>
          <w:rFonts w:cstheme="minorHAnsi"/>
          <w:bCs/>
          <w:sz w:val="24"/>
          <w:szCs w:val="24"/>
        </w:rPr>
        <w:t>:</w:t>
      </w:r>
      <w:r w:rsidRPr="00F67785">
        <w:rPr>
          <w:rFonts w:ascii="Century" w:hAnsi="Century" w:cs="Arial"/>
          <w:bCs/>
          <w:sz w:val="24"/>
          <w:szCs w:val="24"/>
        </w:rPr>
        <w:t xml:space="preserve"> análisis del caso español”, </w:t>
      </w:r>
      <w:r w:rsidRPr="00F67785">
        <w:rPr>
          <w:rFonts w:ascii="Century" w:hAnsi="Century" w:cs="Arial"/>
          <w:bCs/>
          <w:i/>
          <w:sz w:val="24"/>
          <w:szCs w:val="24"/>
        </w:rPr>
        <w:t>Instituto de Estudios Fiscales</w:t>
      </w:r>
      <w:r w:rsidRPr="00F67785">
        <w:rPr>
          <w:rFonts w:ascii="Century" w:hAnsi="Century" w:cs="Arial"/>
          <w:bCs/>
          <w:sz w:val="24"/>
          <w:szCs w:val="24"/>
        </w:rPr>
        <w:t>, nº3, Madrid, 1997.</w:t>
      </w:r>
    </w:p>
    <w:p w:rsidR="00994D4C" w:rsidRPr="008550FB" w:rsidRDefault="00994D4C" w:rsidP="0059205E">
      <w:pPr>
        <w:pStyle w:val="Prrafodelista"/>
        <w:tabs>
          <w:tab w:val="left" w:pos="567"/>
        </w:tabs>
        <w:spacing w:before="240" w:after="240" w:line="360" w:lineRule="auto"/>
        <w:ind w:left="284"/>
        <w:jc w:val="both"/>
        <w:rPr>
          <w:rFonts w:ascii="Century" w:hAnsi="Century" w:cs="Arial"/>
          <w:bCs/>
          <w:sz w:val="10"/>
          <w:szCs w:val="10"/>
        </w:rPr>
      </w:pPr>
    </w:p>
    <w:p w:rsidR="00994D4C" w:rsidRDefault="00994D4C" w:rsidP="0059205E">
      <w:pPr>
        <w:pStyle w:val="Prrafodelista"/>
        <w:numPr>
          <w:ilvl w:val="0"/>
          <w:numId w:val="15"/>
        </w:numPr>
        <w:tabs>
          <w:tab w:val="left" w:pos="567"/>
        </w:tabs>
        <w:spacing w:before="240" w:after="240" w:line="360" w:lineRule="auto"/>
        <w:ind w:left="284" w:firstLine="0"/>
        <w:jc w:val="both"/>
        <w:rPr>
          <w:rFonts w:ascii="Century" w:hAnsi="Century"/>
          <w:sz w:val="24"/>
          <w:szCs w:val="24"/>
        </w:rPr>
      </w:pPr>
      <w:r w:rsidRPr="00F67785">
        <w:rPr>
          <w:rFonts w:ascii="Century" w:hAnsi="Century"/>
          <w:sz w:val="24"/>
          <w:szCs w:val="24"/>
        </w:rPr>
        <w:t>RUIZ ALMENDRAL, V</w:t>
      </w:r>
      <w:r w:rsidRPr="00514069">
        <w:rPr>
          <w:rFonts w:cstheme="minorHAnsi"/>
          <w:sz w:val="24"/>
          <w:szCs w:val="24"/>
        </w:rPr>
        <w:t>:</w:t>
      </w:r>
      <w:r w:rsidRPr="00F67785">
        <w:rPr>
          <w:rFonts w:ascii="Century" w:hAnsi="Century"/>
          <w:sz w:val="24"/>
          <w:szCs w:val="24"/>
        </w:rPr>
        <w:t xml:space="preserve"> “Diez preguntas sobre los impuestos cedidos”, </w:t>
      </w:r>
      <w:r w:rsidRPr="00F67785">
        <w:rPr>
          <w:rFonts w:ascii="Century" w:hAnsi="Century"/>
          <w:i/>
          <w:sz w:val="24"/>
          <w:szCs w:val="24"/>
        </w:rPr>
        <w:t>Quincena Fiscal</w:t>
      </w:r>
      <w:r>
        <w:rPr>
          <w:rFonts w:ascii="Century" w:hAnsi="Century"/>
          <w:sz w:val="24"/>
          <w:szCs w:val="24"/>
        </w:rPr>
        <w:t>, nº 17</w:t>
      </w:r>
      <w:r w:rsidRPr="00F67785">
        <w:rPr>
          <w:rFonts w:ascii="Century" w:hAnsi="Century"/>
          <w:sz w:val="24"/>
          <w:szCs w:val="24"/>
        </w:rPr>
        <w:t>, 2004.</w:t>
      </w:r>
    </w:p>
    <w:p w:rsidR="00994D4C" w:rsidRPr="008550FB" w:rsidRDefault="00994D4C" w:rsidP="0059205E">
      <w:pPr>
        <w:pStyle w:val="Prrafodelista"/>
        <w:tabs>
          <w:tab w:val="left" w:pos="567"/>
        </w:tabs>
        <w:spacing w:before="240" w:after="240" w:line="360" w:lineRule="auto"/>
        <w:ind w:left="284"/>
        <w:jc w:val="both"/>
        <w:rPr>
          <w:rFonts w:ascii="Century" w:hAnsi="Century"/>
          <w:sz w:val="10"/>
          <w:szCs w:val="10"/>
        </w:rPr>
      </w:pPr>
    </w:p>
    <w:p w:rsidR="00994D4C" w:rsidRDefault="00994D4C" w:rsidP="0059205E">
      <w:pPr>
        <w:pStyle w:val="Prrafodelista"/>
        <w:numPr>
          <w:ilvl w:val="0"/>
          <w:numId w:val="15"/>
        </w:numPr>
        <w:tabs>
          <w:tab w:val="left" w:pos="567"/>
        </w:tabs>
        <w:spacing w:before="240" w:after="240" w:line="360" w:lineRule="auto"/>
        <w:ind w:left="284" w:firstLine="0"/>
        <w:jc w:val="both"/>
        <w:rPr>
          <w:rFonts w:ascii="Century" w:hAnsi="Century" w:cs="Arial"/>
          <w:bCs/>
          <w:sz w:val="24"/>
          <w:szCs w:val="24"/>
        </w:rPr>
      </w:pPr>
      <w:r w:rsidRPr="00F67785">
        <w:rPr>
          <w:rFonts w:ascii="Century" w:hAnsi="Century" w:cs="Arial"/>
          <w:bCs/>
          <w:sz w:val="24"/>
          <w:szCs w:val="24"/>
        </w:rPr>
        <w:t xml:space="preserve">SÁNCHEZ </w:t>
      </w:r>
      <w:proofErr w:type="spellStart"/>
      <w:r w:rsidRPr="00F67785">
        <w:rPr>
          <w:rFonts w:ascii="Century" w:hAnsi="Century" w:cs="Arial"/>
          <w:bCs/>
          <w:sz w:val="24"/>
          <w:szCs w:val="24"/>
        </w:rPr>
        <w:t>SÁNCHEZ</w:t>
      </w:r>
      <w:proofErr w:type="spellEnd"/>
      <w:r w:rsidRPr="00F67785">
        <w:rPr>
          <w:rFonts w:ascii="Century" w:hAnsi="Century" w:cs="Arial"/>
          <w:bCs/>
          <w:sz w:val="24"/>
          <w:szCs w:val="24"/>
        </w:rPr>
        <w:t>, E. Mª</w:t>
      </w:r>
      <w:r w:rsidRPr="00514069">
        <w:rPr>
          <w:rFonts w:cstheme="minorHAnsi"/>
          <w:bCs/>
          <w:sz w:val="24"/>
          <w:szCs w:val="24"/>
        </w:rPr>
        <w:t>:</w:t>
      </w:r>
      <w:r w:rsidRPr="00F67785">
        <w:rPr>
          <w:rFonts w:ascii="Century" w:hAnsi="Century" w:cs="Arial"/>
          <w:bCs/>
          <w:sz w:val="24"/>
          <w:szCs w:val="24"/>
        </w:rPr>
        <w:t xml:space="preserve"> “La desigualdad de trato en la tributación de las sucesiones y donaciones en España y la Unión Europea”, </w:t>
      </w:r>
      <w:r w:rsidRPr="00F67785">
        <w:rPr>
          <w:rFonts w:ascii="Century" w:hAnsi="Century" w:cs="Times New Roman"/>
          <w:i/>
          <w:iCs/>
          <w:sz w:val="24"/>
          <w:szCs w:val="24"/>
        </w:rPr>
        <w:t>Revista de Estudios Jurídicos</w:t>
      </w:r>
      <w:r w:rsidRPr="00F67785">
        <w:rPr>
          <w:rFonts w:ascii="Century" w:hAnsi="Century" w:cs="Times New Roman"/>
          <w:iCs/>
          <w:sz w:val="24"/>
          <w:szCs w:val="24"/>
        </w:rPr>
        <w:t xml:space="preserve">, </w:t>
      </w:r>
      <w:r w:rsidRPr="00F67785">
        <w:rPr>
          <w:rFonts w:ascii="Century" w:hAnsi="Century" w:cs="Times New Roman"/>
          <w:sz w:val="24"/>
          <w:szCs w:val="24"/>
        </w:rPr>
        <w:t>nº15, Jaén, 2015</w:t>
      </w:r>
      <w:r w:rsidRPr="00F67785">
        <w:rPr>
          <w:rFonts w:ascii="Century" w:hAnsi="Century" w:cs="Arial"/>
          <w:bCs/>
          <w:sz w:val="24"/>
          <w:szCs w:val="24"/>
        </w:rPr>
        <w:t>.</w:t>
      </w:r>
    </w:p>
    <w:p w:rsidR="00994D4C" w:rsidRPr="008550FB" w:rsidRDefault="00994D4C" w:rsidP="0059205E">
      <w:pPr>
        <w:pStyle w:val="Prrafodelista"/>
        <w:tabs>
          <w:tab w:val="left" w:pos="567"/>
        </w:tabs>
        <w:spacing w:before="240" w:after="240" w:line="360" w:lineRule="auto"/>
        <w:ind w:left="284"/>
        <w:jc w:val="both"/>
        <w:rPr>
          <w:rFonts w:ascii="Century" w:hAnsi="Century" w:cs="Arial"/>
          <w:bCs/>
          <w:sz w:val="10"/>
          <w:szCs w:val="10"/>
        </w:rPr>
      </w:pPr>
    </w:p>
    <w:p w:rsidR="00994D4C" w:rsidRDefault="00994D4C" w:rsidP="0059205E">
      <w:pPr>
        <w:pStyle w:val="Prrafodelista"/>
        <w:numPr>
          <w:ilvl w:val="0"/>
          <w:numId w:val="15"/>
        </w:numPr>
        <w:tabs>
          <w:tab w:val="left" w:pos="567"/>
        </w:tabs>
        <w:spacing w:before="240" w:after="240" w:line="360" w:lineRule="auto"/>
        <w:ind w:left="284" w:firstLine="0"/>
        <w:jc w:val="both"/>
        <w:rPr>
          <w:rFonts w:ascii="Century" w:hAnsi="Century"/>
          <w:sz w:val="24"/>
          <w:szCs w:val="24"/>
        </w:rPr>
      </w:pPr>
      <w:r w:rsidRPr="00F67785">
        <w:rPr>
          <w:rFonts w:ascii="Century" w:hAnsi="Century"/>
          <w:sz w:val="24"/>
          <w:szCs w:val="24"/>
        </w:rPr>
        <w:t>SANZ GÓMEZ, R</w:t>
      </w:r>
      <w:r w:rsidRPr="00514069">
        <w:rPr>
          <w:rFonts w:cstheme="minorHAnsi"/>
          <w:sz w:val="24"/>
          <w:szCs w:val="24"/>
        </w:rPr>
        <w:t>:</w:t>
      </w:r>
      <w:r w:rsidRPr="00F67785">
        <w:rPr>
          <w:rFonts w:ascii="Century" w:hAnsi="Century"/>
          <w:sz w:val="24"/>
          <w:szCs w:val="24"/>
        </w:rPr>
        <w:t xml:space="preserve"> </w:t>
      </w:r>
      <w:r w:rsidRPr="00F67785">
        <w:rPr>
          <w:rFonts w:ascii="Century" w:hAnsi="Century"/>
          <w:i/>
          <w:sz w:val="24"/>
          <w:szCs w:val="24"/>
        </w:rPr>
        <w:t>Evaluación del Sistema Tributario Vigente. Propuestas de Mejora en la Regulación de los Distintos Impuestos</w:t>
      </w:r>
      <w:r w:rsidRPr="00F67785">
        <w:rPr>
          <w:rFonts w:ascii="Century" w:hAnsi="Century"/>
          <w:sz w:val="24"/>
          <w:szCs w:val="24"/>
        </w:rPr>
        <w:t>, Ed. Aranzadi, Pamplona, 2013.</w:t>
      </w:r>
    </w:p>
    <w:p w:rsidR="00994D4C" w:rsidRPr="008550FB" w:rsidRDefault="00994D4C" w:rsidP="0059205E">
      <w:pPr>
        <w:pStyle w:val="Prrafodelista"/>
        <w:tabs>
          <w:tab w:val="left" w:pos="567"/>
        </w:tabs>
        <w:spacing w:before="240" w:after="240" w:line="360" w:lineRule="auto"/>
        <w:ind w:left="284"/>
        <w:jc w:val="both"/>
        <w:rPr>
          <w:rFonts w:ascii="Century" w:hAnsi="Century"/>
          <w:sz w:val="10"/>
          <w:szCs w:val="10"/>
        </w:rPr>
      </w:pPr>
    </w:p>
    <w:p w:rsidR="00994D4C" w:rsidRPr="00F67785" w:rsidRDefault="00994D4C" w:rsidP="0059205E">
      <w:pPr>
        <w:pStyle w:val="Prrafodelista"/>
        <w:numPr>
          <w:ilvl w:val="0"/>
          <w:numId w:val="15"/>
        </w:numPr>
        <w:tabs>
          <w:tab w:val="left" w:pos="567"/>
        </w:tabs>
        <w:spacing w:before="240" w:after="240" w:line="360" w:lineRule="auto"/>
        <w:ind w:left="284" w:firstLine="0"/>
        <w:jc w:val="both"/>
        <w:rPr>
          <w:rFonts w:ascii="Century" w:hAnsi="Century"/>
          <w:sz w:val="24"/>
          <w:szCs w:val="24"/>
        </w:rPr>
      </w:pPr>
      <w:r w:rsidRPr="00F67785">
        <w:rPr>
          <w:rFonts w:ascii="Century" w:hAnsi="Century"/>
          <w:sz w:val="24"/>
          <w:szCs w:val="24"/>
        </w:rPr>
        <w:t>SARMIENTO RAMÍREZ-ESCUDERO, D</w:t>
      </w:r>
      <w:r w:rsidRPr="00514069">
        <w:rPr>
          <w:rFonts w:cstheme="minorHAnsi"/>
          <w:sz w:val="24"/>
          <w:szCs w:val="24"/>
        </w:rPr>
        <w:t>:</w:t>
      </w:r>
      <w:r w:rsidRPr="00F67785">
        <w:rPr>
          <w:rFonts w:ascii="Century" w:hAnsi="Century"/>
          <w:sz w:val="24"/>
          <w:szCs w:val="24"/>
        </w:rPr>
        <w:t xml:space="preserve"> “Los límites europeos de la autonomía fiscal en España (comentario a la Sentencia del Tribunal de Justicia de la Unión Europea en el asunto Comisión/España C-127/12, EU</w:t>
      </w:r>
      <w:proofErr w:type="gramStart"/>
      <w:r w:rsidRPr="00514069">
        <w:rPr>
          <w:rFonts w:cstheme="minorHAnsi"/>
          <w:sz w:val="24"/>
          <w:szCs w:val="24"/>
        </w:rPr>
        <w:t>:</w:t>
      </w:r>
      <w:r w:rsidRPr="00F67785">
        <w:rPr>
          <w:rFonts w:ascii="Century" w:hAnsi="Century"/>
          <w:sz w:val="24"/>
          <w:szCs w:val="24"/>
        </w:rPr>
        <w:t>C</w:t>
      </w:r>
      <w:r w:rsidRPr="00514069">
        <w:rPr>
          <w:rFonts w:cstheme="minorHAnsi"/>
          <w:sz w:val="24"/>
          <w:szCs w:val="24"/>
        </w:rPr>
        <w:t>:</w:t>
      </w:r>
      <w:r w:rsidRPr="00F67785">
        <w:rPr>
          <w:rFonts w:ascii="Century" w:hAnsi="Century"/>
          <w:sz w:val="24"/>
          <w:szCs w:val="24"/>
        </w:rPr>
        <w:t>2014</w:t>
      </w:r>
      <w:r w:rsidRPr="00514069">
        <w:rPr>
          <w:rFonts w:cstheme="minorHAnsi"/>
          <w:sz w:val="24"/>
          <w:szCs w:val="24"/>
        </w:rPr>
        <w:t>:</w:t>
      </w:r>
      <w:r w:rsidRPr="00F67785">
        <w:rPr>
          <w:rFonts w:ascii="Century" w:hAnsi="Century"/>
          <w:sz w:val="24"/>
          <w:szCs w:val="24"/>
        </w:rPr>
        <w:t>2130</w:t>
      </w:r>
      <w:proofErr w:type="gramEnd"/>
      <w:r w:rsidRPr="00F67785">
        <w:rPr>
          <w:rFonts w:ascii="Century" w:hAnsi="Century"/>
          <w:sz w:val="24"/>
          <w:szCs w:val="24"/>
        </w:rPr>
        <w:t xml:space="preserve">), sobre el régimen de tributación de los no residentes en el Impuesto de Sucesiones y Donaciones)”, </w:t>
      </w:r>
      <w:r w:rsidRPr="00B10587">
        <w:rPr>
          <w:rFonts w:ascii="Century" w:hAnsi="Century"/>
          <w:i/>
          <w:sz w:val="24"/>
          <w:szCs w:val="24"/>
        </w:rPr>
        <w:t>Actualidad Jurídica Uría Menéndez</w:t>
      </w:r>
      <w:r w:rsidRPr="00F67785">
        <w:rPr>
          <w:rFonts w:ascii="Century" w:hAnsi="Century"/>
          <w:sz w:val="24"/>
          <w:szCs w:val="24"/>
        </w:rPr>
        <w:t>, nº 39, 2015.</w:t>
      </w:r>
    </w:p>
    <w:p w:rsidR="00994D4C" w:rsidRPr="00081D4A" w:rsidRDefault="00994D4C" w:rsidP="0059205E">
      <w:pPr>
        <w:pStyle w:val="Prrafodelista"/>
        <w:tabs>
          <w:tab w:val="left" w:pos="567"/>
        </w:tabs>
        <w:spacing w:before="240" w:after="240" w:line="360" w:lineRule="auto"/>
        <w:ind w:left="284"/>
        <w:jc w:val="both"/>
        <w:rPr>
          <w:rStyle w:val="CitaHTML"/>
          <w:rFonts w:ascii="Century" w:hAnsi="Century"/>
          <w:i w:val="0"/>
          <w:sz w:val="20"/>
          <w:szCs w:val="20"/>
        </w:rPr>
      </w:pPr>
      <w:r w:rsidRPr="00081D4A">
        <w:rPr>
          <w:rStyle w:val="CitaHTML"/>
          <w:rFonts w:ascii="Century" w:hAnsi="Century"/>
          <w:sz w:val="20"/>
          <w:szCs w:val="20"/>
          <w:u w:val="single"/>
        </w:rPr>
        <w:t>www.uria.com/documentos/publicaciones/4627/documento/u01.pdf?id=5779</w:t>
      </w:r>
    </w:p>
    <w:p w:rsidR="00994D4C" w:rsidRPr="008550FB" w:rsidRDefault="00994D4C" w:rsidP="0059205E">
      <w:pPr>
        <w:pStyle w:val="Prrafodelista"/>
        <w:tabs>
          <w:tab w:val="left" w:pos="567"/>
        </w:tabs>
        <w:spacing w:before="240" w:after="240" w:line="360" w:lineRule="auto"/>
        <w:ind w:left="284"/>
        <w:jc w:val="both"/>
        <w:rPr>
          <w:rFonts w:ascii="Century" w:hAnsi="Century"/>
          <w:iCs/>
          <w:sz w:val="10"/>
          <w:szCs w:val="10"/>
        </w:rPr>
      </w:pPr>
    </w:p>
    <w:p w:rsidR="00994D4C" w:rsidRDefault="00994D4C" w:rsidP="0059205E">
      <w:pPr>
        <w:pStyle w:val="Prrafodelista"/>
        <w:numPr>
          <w:ilvl w:val="0"/>
          <w:numId w:val="15"/>
        </w:numPr>
        <w:tabs>
          <w:tab w:val="left" w:pos="567"/>
        </w:tabs>
        <w:spacing w:before="240" w:after="240" w:line="360" w:lineRule="auto"/>
        <w:ind w:left="284" w:firstLine="0"/>
        <w:jc w:val="both"/>
        <w:rPr>
          <w:rFonts w:ascii="Century" w:hAnsi="Century"/>
          <w:sz w:val="24"/>
          <w:szCs w:val="24"/>
        </w:rPr>
      </w:pPr>
      <w:r w:rsidRPr="00F67785">
        <w:rPr>
          <w:rFonts w:ascii="Century" w:hAnsi="Century"/>
          <w:sz w:val="24"/>
          <w:szCs w:val="24"/>
        </w:rPr>
        <w:t>VALLEJO CHAMORRO, J.M y GUTIÉRREZ LOUSA, M</w:t>
      </w:r>
      <w:r w:rsidRPr="00514069">
        <w:rPr>
          <w:rFonts w:cstheme="minorHAnsi"/>
          <w:sz w:val="24"/>
          <w:szCs w:val="24"/>
        </w:rPr>
        <w:t>:</w:t>
      </w:r>
      <w:r w:rsidRPr="00F67785">
        <w:rPr>
          <w:rFonts w:ascii="Century" w:hAnsi="Century"/>
          <w:sz w:val="24"/>
          <w:szCs w:val="24"/>
        </w:rPr>
        <w:t xml:space="preserve"> </w:t>
      </w:r>
      <w:r w:rsidRPr="00F67785">
        <w:rPr>
          <w:rFonts w:ascii="Century" w:hAnsi="Century"/>
          <w:i/>
          <w:sz w:val="24"/>
          <w:szCs w:val="24"/>
        </w:rPr>
        <w:t>Manual de Fiscalidad Internacional</w:t>
      </w:r>
      <w:r w:rsidRPr="00514069">
        <w:rPr>
          <w:rFonts w:cstheme="minorHAnsi"/>
          <w:i/>
          <w:sz w:val="24"/>
          <w:szCs w:val="24"/>
        </w:rPr>
        <w:t>:</w:t>
      </w:r>
      <w:r w:rsidRPr="00F67785">
        <w:rPr>
          <w:rFonts w:ascii="Century" w:hAnsi="Century"/>
          <w:i/>
          <w:sz w:val="24"/>
          <w:szCs w:val="24"/>
        </w:rPr>
        <w:t xml:space="preserve"> Planificación Fiscal Internacional. 4ª edición</w:t>
      </w:r>
      <w:r w:rsidRPr="00F67785">
        <w:rPr>
          <w:rFonts w:ascii="Century" w:hAnsi="Century"/>
          <w:sz w:val="24"/>
          <w:szCs w:val="24"/>
        </w:rPr>
        <w:t>. Ed. Instituto de Estudios Fiscales, Madrid, 2016.</w:t>
      </w:r>
    </w:p>
    <w:p w:rsidR="00994D4C" w:rsidRPr="008550FB" w:rsidRDefault="00994D4C" w:rsidP="0059205E">
      <w:pPr>
        <w:pStyle w:val="Prrafodelista"/>
        <w:tabs>
          <w:tab w:val="left" w:pos="567"/>
        </w:tabs>
        <w:spacing w:before="240" w:after="240" w:line="360" w:lineRule="auto"/>
        <w:ind w:left="284"/>
        <w:jc w:val="both"/>
        <w:rPr>
          <w:rFonts w:ascii="Century" w:hAnsi="Century"/>
          <w:sz w:val="10"/>
          <w:szCs w:val="10"/>
        </w:rPr>
      </w:pPr>
    </w:p>
    <w:p w:rsidR="00994D4C" w:rsidRPr="006F62F0" w:rsidRDefault="00994D4C" w:rsidP="0059205E">
      <w:pPr>
        <w:pStyle w:val="Prrafodelista"/>
        <w:numPr>
          <w:ilvl w:val="0"/>
          <w:numId w:val="15"/>
        </w:numPr>
        <w:tabs>
          <w:tab w:val="left" w:pos="567"/>
        </w:tabs>
        <w:spacing w:before="240" w:after="240" w:line="360" w:lineRule="auto"/>
        <w:ind w:left="284" w:firstLine="0"/>
        <w:jc w:val="both"/>
        <w:rPr>
          <w:rFonts w:ascii="Century" w:hAnsi="Century"/>
          <w:iCs/>
          <w:sz w:val="24"/>
          <w:szCs w:val="24"/>
        </w:rPr>
      </w:pPr>
      <w:r w:rsidRPr="00F67785">
        <w:rPr>
          <w:rFonts w:ascii="Century" w:hAnsi="Century"/>
          <w:sz w:val="24"/>
          <w:szCs w:val="24"/>
        </w:rPr>
        <w:lastRenderedPageBreak/>
        <w:t>VARONA ALABERN, J.E</w:t>
      </w:r>
      <w:r w:rsidRPr="00514069">
        <w:rPr>
          <w:rFonts w:cstheme="minorHAnsi"/>
          <w:sz w:val="24"/>
          <w:szCs w:val="24"/>
        </w:rPr>
        <w:t>:</w:t>
      </w:r>
      <w:r w:rsidRPr="00F67785">
        <w:rPr>
          <w:rFonts w:ascii="Century" w:hAnsi="Century"/>
          <w:sz w:val="24"/>
          <w:szCs w:val="24"/>
        </w:rPr>
        <w:t xml:space="preserve"> “Razones constitucionales para la rehabilitación y la necesaria reforma del impuesto sobre sucesiones y donaciones”, </w:t>
      </w:r>
      <w:r w:rsidRPr="00F67785">
        <w:rPr>
          <w:rFonts w:ascii="Century" w:hAnsi="Century"/>
          <w:i/>
          <w:sz w:val="24"/>
          <w:szCs w:val="24"/>
        </w:rPr>
        <w:t xml:space="preserve">Quincena </w:t>
      </w:r>
      <w:r w:rsidRPr="00F67785">
        <w:rPr>
          <w:rFonts w:ascii="Century" w:hAnsi="Century"/>
          <w:sz w:val="24"/>
          <w:szCs w:val="24"/>
        </w:rPr>
        <w:t>Fiscal, nº 16, 2014.</w:t>
      </w:r>
    </w:p>
    <w:p w:rsidR="00994D4C" w:rsidRPr="008550FB" w:rsidRDefault="00994D4C" w:rsidP="0059205E">
      <w:pPr>
        <w:pStyle w:val="Prrafodelista"/>
        <w:tabs>
          <w:tab w:val="left" w:pos="567"/>
        </w:tabs>
        <w:spacing w:before="240" w:after="240" w:line="360" w:lineRule="auto"/>
        <w:ind w:left="284"/>
        <w:jc w:val="both"/>
        <w:rPr>
          <w:rStyle w:val="CitaHTML"/>
          <w:rFonts w:ascii="Century" w:hAnsi="Century"/>
          <w:i w:val="0"/>
          <w:sz w:val="10"/>
          <w:szCs w:val="10"/>
        </w:rPr>
      </w:pPr>
    </w:p>
    <w:p w:rsidR="00994D4C" w:rsidRPr="00490D37" w:rsidRDefault="00994D4C" w:rsidP="0059205E">
      <w:pPr>
        <w:pStyle w:val="Prrafodelista"/>
        <w:numPr>
          <w:ilvl w:val="0"/>
          <w:numId w:val="15"/>
        </w:numPr>
        <w:tabs>
          <w:tab w:val="left" w:pos="567"/>
        </w:tabs>
        <w:spacing w:before="240" w:after="240" w:line="360" w:lineRule="auto"/>
        <w:ind w:left="284" w:firstLine="0"/>
        <w:jc w:val="both"/>
        <w:rPr>
          <w:rFonts w:ascii="Century" w:hAnsi="Century"/>
          <w:sz w:val="24"/>
          <w:szCs w:val="24"/>
        </w:rPr>
      </w:pPr>
      <w:r w:rsidRPr="000F3DD3">
        <w:rPr>
          <w:rFonts w:ascii="Century" w:hAnsi="Century" w:cs="Arial"/>
          <w:sz w:val="24"/>
          <w:szCs w:val="24"/>
        </w:rPr>
        <w:t>VÍLCHEZ CUESTA, F</w:t>
      </w:r>
      <w:r w:rsidRPr="00514069">
        <w:rPr>
          <w:rFonts w:ascii="Calibri" w:hAnsi="Calibri" w:cs="Calibri"/>
          <w:sz w:val="24"/>
          <w:szCs w:val="24"/>
        </w:rPr>
        <w:t>:</w:t>
      </w:r>
      <w:r w:rsidRPr="000F3DD3">
        <w:rPr>
          <w:rFonts w:ascii="Century" w:hAnsi="Century" w:cs="Arial"/>
          <w:sz w:val="24"/>
          <w:szCs w:val="24"/>
        </w:rPr>
        <w:t xml:space="preserve"> “La jurisprudencia del Tribunal de Justicia de Luxemburgo como elemento de armonización fiscal”, </w:t>
      </w:r>
      <w:r w:rsidRPr="000F3DD3">
        <w:rPr>
          <w:rFonts w:ascii="Century" w:hAnsi="Century" w:cs="Arial"/>
          <w:i/>
          <w:sz w:val="24"/>
          <w:szCs w:val="24"/>
        </w:rPr>
        <w:t>Instituto de Estudios Fiscales</w:t>
      </w:r>
      <w:r w:rsidRPr="000F3DD3">
        <w:rPr>
          <w:rFonts w:ascii="Century" w:hAnsi="Century" w:cs="Arial"/>
          <w:sz w:val="24"/>
          <w:szCs w:val="24"/>
        </w:rPr>
        <w:t xml:space="preserve">, </w:t>
      </w:r>
      <w:r w:rsidRPr="000F3DD3">
        <w:rPr>
          <w:rFonts w:ascii="Century" w:hAnsi="Century" w:cs="Arial"/>
          <w:i/>
          <w:sz w:val="24"/>
          <w:szCs w:val="24"/>
        </w:rPr>
        <w:t>Cuadernos de Formación</w:t>
      </w:r>
      <w:r w:rsidRPr="000F3DD3">
        <w:rPr>
          <w:rFonts w:ascii="Century" w:hAnsi="Century" w:cs="Arial"/>
          <w:sz w:val="24"/>
          <w:szCs w:val="24"/>
        </w:rPr>
        <w:t xml:space="preserve"> </w:t>
      </w:r>
      <w:r w:rsidRPr="000F3DD3">
        <w:rPr>
          <w:rFonts w:ascii="Century" w:hAnsi="Century" w:cs="Arial"/>
          <w:i/>
          <w:sz w:val="24"/>
          <w:szCs w:val="24"/>
        </w:rPr>
        <w:t>vol. 7</w:t>
      </w:r>
      <w:r w:rsidRPr="000F3DD3">
        <w:rPr>
          <w:rFonts w:ascii="Century" w:hAnsi="Century" w:cs="Arial"/>
          <w:sz w:val="24"/>
          <w:szCs w:val="24"/>
        </w:rPr>
        <w:t>, Madrid, 2009.</w:t>
      </w:r>
    </w:p>
    <w:p w:rsidR="00994D4C" w:rsidRDefault="00994D4C" w:rsidP="0016255F">
      <w:pPr>
        <w:pStyle w:val="Prrafodelista"/>
        <w:spacing w:before="240" w:after="240" w:line="360" w:lineRule="auto"/>
        <w:ind w:left="284"/>
        <w:jc w:val="both"/>
        <w:rPr>
          <w:rFonts w:ascii="Century" w:hAnsi="Century"/>
          <w:sz w:val="24"/>
          <w:szCs w:val="24"/>
        </w:rPr>
      </w:pPr>
    </w:p>
    <w:p w:rsidR="00994D4C" w:rsidRDefault="00994D4C" w:rsidP="0016255F">
      <w:pPr>
        <w:pStyle w:val="Prrafodelista"/>
        <w:spacing w:before="240" w:after="240" w:line="360" w:lineRule="auto"/>
        <w:ind w:left="284"/>
        <w:jc w:val="both"/>
        <w:rPr>
          <w:rFonts w:ascii="Century" w:hAnsi="Century"/>
          <w:sz w:val="24"/>
          <w:szCs w:val="24"/>
        </w:rPr>
      </w:pPr>
    </w:p>
    <w:p w:rsidR="00994D4C" w:rsidRDefault="00994D4C" w:rsidP="002D11BC">
      <w:pPr>
        <w:pStyle w:val="Prrafodelista"/>
        <w:spacing w:after="240" w:line="360" w:lineRule="auto"/>
        <w:ind w:left="284"/>
        <w:jc w:val="both"/>
        <w:rPr>
          <w:rFonts w:ascii="Century" w:hAnsi="Century"/>
          <w:sz w:val="24"/>
          <w:szCs w:val="24"/>
        </w:rPr>
      </w:pPr>
    </w:p>
    <w:p w:rsidR="00994D4C" w:rsidRDefault="00994D4C" w:rsidP="002D11BC">
      <w:pPr>
        <w:pStyle w:val="Prrafodelista"/>
        <w:spacing w:after="240" w:line="360" w:lineRule="auto"/>
        <w:ind w:left="284"/>
        <w:jc w:val="both"/>
        <w:rPr>
          <w:rFonts w:ascii="Century" w:hAnsi="Century"/>
          <w:sz w:val="24"/>
          <w:szCs w:val="24"/>
        </w:rPr>
      </w:pPr>
    </w:p>
    <w:p w:rsidR="00994D4C" w:rsidRDefault="00994D4C" w:rsidP="002D11BC">
      <w:pPr>
        <w:pStyle w:val="Prrafodelista"/>
        <w:spacing w:after="240" w:line="360" w:lineRule="auto"/>
        <w:ind w:left="284"/>
        <w:jc w:val="both"/>
        <w:rPr>
          <w:rFonts w:ascii="Century" w:hAnsi="Century"/>
          <w:sz w:val="24"/>
          <w:szCs w:val="24"/>
        </w:rPr>
      </w:pPr>
    </w:p>
    <w:p w:rsidR="00994D4C" w:rsidRDefault="00994D4C" w:rsidP="002D11BC">
      <w:pPr>
        <w:pStyle w:val="Prrafodelista"/>
        <w:spacing w:after="240" w:line="360" w:lineRule="auto"/>
        <w:ind w:left="284"/>
        <w:jc w:val="both"/>
        <w:rPr>
          <w:rFonts w:ascii="Century" w:hAnsi="Century"/>
          <w:sz w:val="24"/>
          <w:szCs w:val="24"/>
        </w:rPr>
      </w:pPr>
    </w:p>
    <w:p w:rsidR="00994D4C" w:rsidRDefault="00994D4C" w:rsidP="002D11BC">
      <w:pPr>
        <w:pStyle w:val="Prrafodelista"/>
        <w:spacing w:after="240" w:line="360" w:lineRule="auto"/>
        <w:ind w:left="284"/>
        <w:jc w:val="both"/>
        <w:rPr>
          <w:rFonts w:ascii="Century" w:hAnsi="Century"/>
          <w:sz w:val="24"/>
          <w:szCs w:val="24"/>
        </w:rPr>
      </w:pPr>
    </w:p>
    <w:p w:rsidR="00994D4C" w:rsidRDefault="00994D4C" w:rsidP="002D11BC">
      <w:pPr>
        <w:pStyle w:val="Prrafodelista"/>
        <w:spacing w:after="240" w:line="360" w:lineRule="auto"/>
        <w:ind w:left="284"/>
        <w:jc w:val="both"/>
        <w:rPr>
          <w:rFonts w:ascii="Century" w:hAnsi="Century"/>
          <w:sz w:val="24"/>
          <w:szCs w:val="24"/>
        </w:rPr>
      </w:pPr>
    </w:p>
    <w:p w:rsidR="00994D4C" w:rsidRDefault="00994D4C" w:rsidP="002D11BC">
      <w:pPr>
        <w:pStyle w:val="Prrafodelista"/>
        <w:spacing w:after="240" w:line="360" w:lineRule="auto"/>
        <w:ind w:left="284"/>
        <w:jc w:val="both"/>
        <w:rPr>
          <w:rFonts w:ascii="Century" w:hAnsi="Century"/>
          <w:sz w:val="24"/>
          <w:szCs w:val="24"/>
        </w:rPr>
      </w:pPr>
    </w:p>
    <w:p w:rsidR="00994D4C" w:rsidRDefault="00994D4C" w:rsidP="002D11BC">
      <w:pPr>
        <w:pStyle w:val="Prrafodelista"/>
        <w:spacing w:after="240" w:line="360" w:lineRule="auto"/>
        <w:ind w:left="284"/>
        <w:jc w:val="both"/>
        <w:rPr>
          <w:rFonts w:ascii="Century" w:hAnsi="Century"/>
          <w:sz w:val="24"/>
          <w:szCs w:val="24"/>
        </w:rPr>
      </w:pPr>
    </w:p>
    <w:p w:rsidR="00994D4C" w:rsidRDefault="00994D4C" w:rsidP="002D11BC">
      <w:pPr>
        <w:pStyle w:val="Prrafodelista"/>
        <w:spacing w:after="240" w:line="360" w:lineRule="auto"/>
        <w:ind w:left="284"/>
        <w:jc w:val="both"/>
        <w:rPr>
          <w:rFonts w:ascii="Century" w:hAnsi="Century"/>
          <w:sz w:val="24"/>
          <w:szCs w:val="24"/>
        </w:rPr>
      </w:pPr>
    </w:p>
    <w:p w:rsidR="00994D4C" w:rsidRDefault="00994D4C" w:rsidP="002D11BC">
      <w:pPr>
        <w:pStyle w:val="Prrafodelista"/>
        <w:spacing w:after="240" w:line="360" w:lineRule="auto"/>
        <w:ind w:left="284"/>
        <w:jc w:val="both"/>
        <w:rPr>
          <w:rFonts w:ascii="Century" w:hAnsi="Century"/>
          <w:sz w:val="24"/>
          <w:szCs w:val="24"/>
        </w:rPr>
      </w:pPr>
    </w:p>
    <w:p w:rsidR="00994D4C" w:rsidRDefault="00994D4C" w:rsidP="002D11BC">
      <w:pPr>
        <w:pStyle w:val="Prrafodelista"/>
        <w:spacing w:after="240" w:line="360" w:lineRule="auto"/>
        <w:ind w:left="284"/>
        <w:jc w:val="both"/>
        <w:rPr>
          <w:rFonts w:ascii="Century" w:hAnsi="Century"/>
          <w:sz w:val="24"/>
          <w:szCs w:val="24"/>
        </w:rPr>
      </w:pPr>
    </w:p>
    <w:p w:rsidR="00994D4C" w:rsidRDefault="00994D4C" w:rsidP="002D11BC">
      <w:pPr>
        <w:pStyle w:val="Prrafodelista"/>
        <w:spacing w:after="240" w:line="360" w:lineRule="auto"/>
        <w:ind w:left="284"/>
        <w:jc w:val="both"/>
        <w:rPr>
          <w:rFonts w:ascii="Century" w:hAnsi="Century"/>
          <w:sz w:val="24"/>
          <w:szCs w:val="24"/>
        </w:rPr>
      </w:pPr>
    </w:p>
    <w:p w:rsidR="00994D4C" w:rsidRDefault="00994D4C" w:rsidP="002D11BC">
      <w:pPr>
        <w:pStyle w:val="Prrafodelista"/>
        <w:spacing w:after="240" w:line="360" w:lineRule="auto"/>
        <w:ind w:left="284"/>
        <w:jc w:val="both"/>
        <w:rPr>
          <w:rFonts w:ascii="Century" w:hAnsi="Century"/>
          <w:sz w:val="24"/>
          <w:szCs w:val="24"/>
        </w:rPr>
      </w:pPr>
    </w:p>
    <w:p w:rsidR="00994D4C" w:rsidRDefault="00994D4C" w:rsidP="002D11BC">
      <w:pPr>
        <w:pStyle w:val="Prrafodelista"/>
        <w:spacing w:after="240" w:line="360" w:lineRule="auto"/>
        <w:ind w:left="284"/>
        <w:jc w:val="both"/>
        <w:rPr>
          <w:rFonts w:ascii="Century" w:hAnsi="Century"/>
          <w:sz w:val="24"/>
          <w:szCs w:val="24"/>
        </w:rPr>
      </w:pPr>
    </w:p>
    <w:p w:rsidR="00994D4C" w:rsidRDefault="00994D4C" w:rsidP="002D11BC">
      <w:pPr>
        <w:pStyle w:val="Prrafodelista"/>
        <w:spacing w:after="240" w:line="360" w:lineRule="auto"/>
        <w:ind w:left="284"/>
        <w:jc w:val="both"/>
        <w:rPr>
          <w:rFonts w:ascii="Century" w:hAnsi="Century"/>
          <w:sz w:val="24"/>
          <w:szCs w:val="24"/>
        </w:rPr>
      </w:pPr>
    </w:p>
    <w:p w:rsidR="00994D4C" w:rsidRDefault="00994D4C" w:rsidP="002D11BC">
      <w:pPr>
        <w:pStyle w:val="Prrafodelista"/>
        <w:spacing w:after="240" w:line="360" w:lineRule="auto"/>
        <w:ind w:left="284"/>
        <w:jc w:val="both"/>
        <w:rPr>
          <w:rFonts w:ascii="Century" w:hAnsi="Century"/>
          <w:sz w:val="24"/>
          <w:szCs w:val="24"/>
        </w:rPr>
      </w:pPr>
    </w:p>
    <w:p w:rsidR="00994D4C" w:rsidRDefault="00994D4C" w:rsidP="002D11BC">
      <w:pPr>
        <w:pStyle w:val="Prrafodelista"/>
        <w:spacing w:after="240" w:line="360" w:lineRule="auto"/>
        <w:ind w:left="284"/>
        <w:jc w:val="both"/>
        <w:rPr>
          <w:rFonts w:ascii="Century" w:hAnsi="Century"/>
          <w:sz w:val="24"/>
          <w:szCs w:val="24"/>
        </w:rPr>
      </w:pPr>
    </w:p>
    <w:p w:rsidR="00994D4C" w:rsidRDefault="00994D4C" w:rsidP="002D11BC">
      <w:pPr>
        <w:pStyle w:val="Prrafodelista"/>
        <w:spacing w:after="240" w:line="360" w:lineRule="auto"/>
        <w:ind w:left="284"/>
        <w:jc w:val="both"/>
        <w:rPr>
          <w:rFonts w:ascii="Century" w:hAnsi="Century"/>
          <w:sz w:val="24"/>
          <w:szCs w:val="24"/>
        </w:rPr>
      </w:pPr>
    </w:p>
    <w:p w:rsidR="00994D4C" w:rsidRDefault="00994D4C" w:rsidP="002D11BC">
      <w:pPr>
        <w:pStyle w:val="Prrafodelista"/>
        <w:spacing w:after="240" w:line="360" w:lineRule="auto"/>
        <w:ind w:left="284"/>
        <w:jc w:val="both"/>
        <w:rPr>
          <w:rFonts w:ascii="Century" w:hAnsi="Century"/>
          <w:sz w:val="24"/>
          <w:szCs w:val="24"/>
        </w:rPr>
      </w:pPr>
    </w:p>
    <w:p w:rsidR="0016255F" w:rsidRDefault="0016255F" w:rsidP="002D11BC">
      <w:pPr>
        <w:pStyle w:val="Prrafodelista"/>
        <w:spacing w:after="240" w:line="360" w:lineRule="auto"/>
        <w:ind w:left="284"/>
        <w:jc w:val="both"/>
        <w:rPr>
          <w:rFonts w:ascii="Century" w:hAnsi="Century"/>
          <w:sz w:val="24"/>
          <w:szCs w:val="24"/>
        </w:rPr>
      </w:pPr>
    </w:p>
    <w:p w:rsidR="0016255F" w:rsidRDefault="0016255F" w:rsidP="002D11BC">
      <w:pPr>
        <w:pStyle w:val="Prrafodelista"/>
        <w:spacing w:after="240" w:line="360" w:lineRule="auto"/>
        <w:ind w:left="284"/>
        <w:jc w:val="both"/>
        <w:rPr>
          <w:rFonts w:ascii="Century" w:hAnsi="Century"/>
          <w:sz w:val="24"/>
          <w:szCs w:val="24"/>
        </w:rPr>
      </w:pPr>
    </w:p>
    <w:p w:rsidR="0016255F" w:rsidRDefault="0016255F" w:rsidP="002D11BC">
      <w:pPr>
        <w:pStyle w:val="Prrafodelista"/>
        <w:spacing w:after="240" w:line="360" w:lineRule="auto"/>
        <w:ind w:left="284"/>
        <w:jc w:val="both"/>
        <w:rPr>
          <w:rFonts w:ascii="Century" w:hAnsi="Century"/>
          <w:sz w:val="24"/>
          <w:szCs w:val="24"/>
        </w:rPr>
      </w:pPr>
    </w:p>
    <w:p w:rsidR="00994D4C" w:rsidRDefault="00994D4C" w:rsidP="002D11BC">
      <w:pPr>
        <w:pStyle w:val="Prrafodelista"/>
        <w:spacing w:after="240" w:line="360" w:lineRule="auto"/>
        <w:ind w:left="284"/>
        <w:jc w:val="both"/>
        <w:rPr>
          <w:rFonts w:ascii="Century" w:hAnsi="Century"/>
          <w:sz w:val="24"/>
          <w:szCs w:val="24"/>
        </w:rPr>
      </w:pPr>
    </w:p>
    <w:p w:rsidR="00994D4C" w:rsidRDefault="00994D4C" w:rsidP="002D11BC">
      <w:pPr>
        <w:pStyle w:val="Prrafodelista"/>
        <w:spacing w:after="240" w:line="360" w:lineRule="auto"/>
        <w:ind w:left="0"/>
        <w:jc w:val="both"/>
        <w:rPr>
          <w:rFonts w:ascii="Century" w:hAnsi="Century"/>
          <w:b/>
          <w:sz w:val="24"/>
          <w:szCs w:val="24"/>
          <w:u w:val="single"/>
        </w:rPr>
      </w:pPr>
      <w:r>
        <w:rPr>
          <w:rFonts w:ascii="Century" w:hAnsi="Century"/>
          <w:b/>
          <w:sz w:val="24"/>
          <w:szCs w:val="24"/>
          <w:u w:val="single"/>
        </w:rPr>
        <w:lastRenderedPageBreak/>
        <w:t>6. ANEXO NORMATIVO Y DE JURISPRUDENCIA</w:t>
      </w:r>
    </w:p>
    <w:p w:rsidR="00994D4C" w:rsidRDefault="00994D4C" w:rsidP="002D11BC">
      <w:pPr>
        <w:spacing w:after="240" w:line="360" w:lineRule="auto"/>
        <w:jc w:val="both"/>
        <w:rPr>
          <w:rFonts w:ascii="Century" w:hAnsi="Century" w:cstheme="minorHAnsi"/>
          <w:b/>
          <w:sz w:val="24"/>
          <w:szCs w:val="24"/>
        </w:rPr>
      </w:pPr>
      <w:r w:rsidRPr="00094476">
        <w:rPr>
          <w:rFonts w:ascii="Century" w:hAnsi="Century"/>
          <w:b/>
          <w:sz w:val="24"/>
          <w:szCs w:val="24"/>
          <w:u w:val="single"/>
        </w:rPr>
        <w:t>Legislación</w:t>
      </w:r>
      <w:r w:rsidRPr="00094476">
        <w:rPr>
          <w:rFonts w:ascii="Century" w:hAnsi="Century" w:cstheme="minorHAnsi"/>
          <w:b/>
          <w:sz w:val="24"/>
          <w:szCs w:val="24"/>
          <w:u w:val="single"/>
        </w:rPr>
        <w:t xml:space="preserve"> estatal</w:t>
      </w:r>
      <w:r>
        <w:rPr>
          <w:rFonts w:ascii="Century" w:hAnsi="Century" w:cstheme="minorHAnsi"/>
          <w:b/>
          <w:sz w:val="24"/>
          <w:szCs w:val="24"/>
        </w:rPr>
        <w:t>:</w:t>
      </w:r>
    </w:p>
    <w:p w:rsidR="00994D4C" w:rsidRDefault="00994D4C" w:rsidP="00A10F6E">
      <w:pPr>
        <w:pStyle w:val="Prrafodelista"/>
        <w:numPr>
          <w:ilvl w:val="0"/>
          <w:numId w:val="9"/>
        </w:numPr>
        <w:tabs>
          <w:tab w:val="left" w:pos="567"/>
        </w:tabs>
        <w:spacing w:after="240" w:line="360" w:lineRule="auto"/>
        <w:ind w:left="284" w:firstLine="0"/>
        <w:jc w:val="both"/>
        <w:rPr>
          <w:rFonts w:ascii="Century" w:hAnsi="Century"/>
          <w:sz w:val="24"/>
          <w:szCs w:val="24"/>
        </w:rPr>
      </w:pPr>
      <w:r>
        <w:rPr>
          <w:rFonts w:ascii="Century" w:hAnsi="Century"/>
          <w:sz w:val="24"/>
          <w:szCs w:val="24"/>
        </w:rPr>
        <w:t>Constitución E</w:t>
      </w:r>
      <w:r w:rsidRPr="00035ACA">
        <w:rPr>
          <w:rFonts w:ascii="Century" w:hAnsi="Century"/>
          <w:sz w:val="24"/>
          <w:szCs w:val="24"/>
        </w:rPr>
        <w:t>spañola, de 29 de diciembre de 1978.</w:t>
      </w:r>
    </w:p>
    <w:p w:rsidR="00994D4C" w:rsidRPr="00035ACA" w:rsidRDefault="00994D4C" w:rsidP="00A10F6E">
      <w:pPr>
        <w:pStyle w:val="Prrafodelista"/>
        <w:tabs>
          <w:tab w:val="left" w:pos="567"/>
        </w:tabs>
        <w:spacing w:after="240" w:line="360" w:lineRule="auto"/>
        <w:ind w:left="284"/>
        <w:jc w:val="both"/>
        <w:rPr>
          <w:rFonts w:ascii="Century" w:hAnsi="Century"/>
          <w:sz w:val="10"/>
          <w:szCs w:val="10"/>
        </w:rPr>
      </w:pPr>
    </w:p>
    <w:p w:rsidR="00994D4C" w:rsidRDefault="00994D4C" w:rsidP="00A10F6E">
      <w:pPr>
        <w:pStyle w:val="Prrafodelista"/>
        <w:numPr>
          <w:ilvl w:val="0"/>
          <w:numId w:val="9"/>
        </w:numPr>
        <w:tabs>
          <w:tab w:val="left" w:pos="567"/>
        </w:tabs>
        <w:spacing w:after="240" w:line="360" w:lineRule="auto"/>
        <w:ind w:left="284" w:firstLine="0"/>
        <w:jc w:val="both"/>
        <w:rPr>
          <w:rFonts w:ascii="Century" w:hAnsi="Century" w:cs="Arial"/>
          <w:sz w:val="24"/>
          <w:szCs w:val="24"/>
        </w:rPr>
      </w:pPr>
      <w:r w:rsidRPr="002C13F3">
        <w:rPr>
          <w:rFonts w:ascii="Century" w:hAnsi="Century" w:cs="Arial"/>
          <w:sz w:val="24"/>
          <w:szCs w:val="24"/>
        </w:rPr>
        <w:t xml:space="preserve">Ley Orgánica 8/1980, de 22 de septiembre, de Financiación de las Comunidades Autónomas. </w:t>
      </w:r>
    </w:p>
    <w:p w:rsidR="00994D4C" w:rsidRPr="00490D37" w:rsidRDefault="00994D4C" w:rsidP="00A10F6E">
      <w:pPr>
        <w:pStyle w:val="Prrafodelista"/>
        <w:tabs>
          <w:tab w:val="left" w:pos="567"/>
        </w:tabs>
        <w:spacing w:after="240" w:line="360" w:lineRule="auto"/>
        <w:ind w:left="284"/>
        <w:jc w:val="both"/>
        <w:rPr>
          <w:rFonts w:ascii="Century" w:hAnsi="Century" w:cs="Arial"/>
          <w:sz w:val="10"/>
          <w:szCs w:val="10"/>
        </w:rPr>
      </w:pPr>
    </w:p>
    <w:p w:rsidR="00994D4C" w:rsidRPr="00E44123" w:rsidRDefault="00994D4C" w:rsidP="00A10F6E">
      <w:pPr>
        <w:pStyle w:val="Prrafodelista"/>
        <w:numPr>
          <w:ilvl w:val="0"/>
          <w:numId w:val="9"/>
        </w:numPr>
        <w:tabs>
          <w:tab w:val="left" w:pos="567"/>
        </w:tabs>
        <w:spacing w:after="240" w:line="360" w:lineRule="auto"/>
        <w:ind w:left="284" w:firstLine="0"/>
        <w:jc w:val="both"/>
        <w:rPr>
          <w:rFonts w:ascii="Century" w:hAnsi="Century"/>
          <w:b/>
          <w:sz w:val="24"/>
          <w:szCs w:val="24"/>
        </w:rPr>
      </w:pPr>
      <w:r w:rsidRPr="002C13F3">
        <w:rPr>
          <w:rFonts w:ascii="Century" w:hAnsi="Century"/>
          <w:sz w:val="24"/>
          <w:szCs w:val="24"/>
        </w:rPr>
        <w:t>Ley 29/1987, de 18 de diciembre, del Impuesto sobre Sucesiones y Donaciones.</w:t>
      </w:r>
    </w:p>
    <w:p w:rsidR="00994D4C" w:rsidRPr="00E44123" w:rsidRDefault="00994D4C" w:rsidP="00A10F6E">
      <w:pPr>
        <w:pStyle w:val="Prrafodelista"/>
        <w:tabs>
          <w:tab w:val="left" w:pos="567"/>
        </w:tabs>
        <w:spacing w:after="240" w:line="360" w:lineRule="auto"/>
        <w:jc w:val="both"/>
        <w:rPr>
          <w:rFonts w:ascii="Century" w:hAnsi="Century"/>
          <w:b/>
          <w:sz w:val="10"/>
          <w:szCs w:val="10"/>
        </w:rPr>
      </w:pPr>
    </w:p>
    <w:p w:rsidR="00994D4C" w:rsidRPr="00A10F6E" w:rsidRDefault="00994D4C" w:rsidP="00A10F6E">
      <w:pPr>
        <w:pStyle w:val="Prrafodelista"/>
        <w:numPr>
          <w:ilvl w:val="0"/>
          <w:numId w:val="9"/>
        </w:numPr>
        <w:tabs>
          <w:tab w:val="left" w:pos="567"/>
        </w:tabs>
        <w:spacing w:after="240" w:line="360" w:lineRule="auto"/>
        <w:ind w:left="284" w:firstLine="0"/>
        <w:jc w:val="both"/>
        <w:rPr>
          <w:rFonts w:ascii="Century" w:eastAsia="Times New Roman" w:hAnsi="Century" w:cs="Times New Roman"/>
          <w:bCs/>
          <w:sz w:val="24"/>
          <w:szCs w:val="24"/>
        </w:rPr>
      </w:pPr>
      <w:r w:rsidRPr="00E44123">
        <w:rPr>
          <w:rFonts w:ascii="Century" w:eastAsia="Times New Roman" w:hAnsi="Century" w:cs="Times New Roman"/>
          <w:bCs/>
          <w:sz w:val="24"/>
          <w:szCs w:val="24"/>
        </w:rPr>
        <w:t>Ley 19/1991, de 6 de junio, del Impuesto sobre el Patrimonio.</w:t>
      </w:r>
    </w:p>
    <w:p w:rsidR="00994D4C" w:rsidRPr="002C13F3" w:rsidRDefault="00994D4C" w:rsidP="00A10F6E">
      <w:pPr>
        <w:pStyle w:val="Prrafodelista"/>
        <w:tabs>
          <w:tab w:val="left" w:pos="567"/>
        </w:tabs>
        <w:spacing w:after="240" w:line="360" w:lineRule="auto"/>
        <w:ind w:left="284"/>
        <w:jc w:val="both"/>
        <w:rPr>
          <w:rFonts w:ascii="Century" w:hAnsi="Century"/>
          <w:b/>
          <w:sz w:val="10"/>
          <w:szCs w:val="10"/>
        </w:rPr>
      </w:pPr>
    </w:p>
    <w:p w:rsidR="00994D4C" w:rsidRPr="002C13F3" w:rsidRDefault="00994D4C" w:rsidP="00A10F6E">
      <w:pPr>
        <w:pStyle w:val="Prrafodelista"/>
        <w:numPr>
          <w:ilvl w:val="0"/>
          <w:numId w:val="9"/>
        </w:numPr>
        <w:tabs>
          <w:tab w:val="left" w:pos="567"/>
        </w:tabs>
        <w:spacing w:after="240" w:line="360" w:lineRule="auto"/>
        <w:ind w:left="284" w:firstLine="0"/>
        <w:jc w:val="both"/>
        <w:rPr>
          <w:rFonts w:ascii="Century" w:hAnsi="Century"/>
          <w:b/>
          <w:sz w:val="24"/>
          <w:szCs w:val="24"/>
        </w:rPr>
      </w:pPr>
      <w:r w:rsidRPr="002C13F3">
        <w:rPr>
          <w:rFonts w:ascii="Century" w:hAnsi="Century"/>
          <w:sz w:val="24"/>
          <w:szCs w:val="24"/>
        </w:rPr>
        <w:t>Real Decreto 1629/1991, de 8 de noviembre, por el que se aprueba el Reglamento del Impuesto sobre Sucesiones y Donaciones.</w:t>
      </w:r>
    </w:p>
    <w:p w:rsidR="00994D4C" w:rsidRPr="002C13F3" w:rsidRDefault="00994D4C" w:rsidP="00A10F6E">
      <w:pPr>
        <w:pStyle w:val="Prrafodelista"/>
        <w:tabs>
          <w:tab w:val="left" w:pos="567"/>
        </w:tabs>
        <w:spacing w:after="240" w:line="360" w:lineRule="auto"/>
        <w:ind w:left="284"/>
        <w:jc w:val="both"/>
        <w:rPr>
          <w:rFonts w:ascii="Century" w:hAnsi="Century"/>
          <w:b/>
          <w:sz w:val="10"/>
          <w:szCs w:val="10"/>
        </w:rPr>
      </w:pPr>
    </w:p>
    <w:p w:rsidR="00994D4C" w:rsidRPr="00490D37" w:rsidRDefault="00994D4C" w:rsidP="00A10F6E">
      <w:pPr>
        <w:pStyle w:val="Prrafodelista"/>
        <w:numPr>
          <w:ilvl w:val="0"/>
          <w:numId w:val="9"/>
        </w:numPr>
        <w:tabs>
          <w:tab w:val="left" w:pos="567"/>
        </w:tabs>
        <w:spacing w:after="240" w:line="360" w:lineRule="auto"/>
        <w:ind w:left="284" w:firstLine="0"/>
        <w:jc w:val="both"/>
        <w:rPr>
          <w:rFonts w:ascii="Century" w:hAnsi="Century"/>
          <w:b/>
          <w:sz w:val="24"/>
          <w:szCs w:val="24"/>
        </w:rPr>
      </w:pPr>
      <w:r w:rsidRPr="002C13F3">
        <w:rPr>
          <w:rFonts w:ascii="Century" w:hAnsi="Century"/>
          <w:sz w:val="24"/>
          <w:szCs w:val="24"/>
        </w:rPr>
        <w:t>Ley 58/2003, de 17 de diciembre, General Tributaria.</w:t>
      </w:r>
    </w:p>
    <w:p w:rsidR="00994D4C" w:rsidRPr="002C13F3" w:rsidRDefault="00994D4C" w:rsidP="00A10F6E">
      <w:pPr>
        <w:pStyle w:val="Prrafodelista"/>
        <w:tabs>
          <w:tab w:val="left" w:pos="567"/>
        </w:tabs>
        <w:spacing w:after="240" w:line="360" w:lineRule="auto"/>
        <w:ind w:left="284"/>
        <w:jc w:val="both"/>
        <w:rPr>
          <w:rFonts w:ascii="Century" w:hAnsi="Century" w:cs="Arial"/>
          <w:sz w:val="10"/>
          <w:szCs w:val="10"/>
        </w:rPr>
      </w:pPr>
    </w:p>
    <w:p w:rsidR="00994D4C" w:rsidRPr="002C13F3" w:rsidRDefault="00994D4C" w:rsidP="00A10F6E">
      <w:pPr>
        <w:pStyle w:val="Prrafodelista"/>
        <w:numPr>
          <w:ilvl w:val="0"/>
          <w:numId w:val="9"/>
        </w:numPr>
        <w:tabs>
          <w:tab w:val="left" w:pos="567"/>
        </w:tabs>
        <w:spacing w:after="240" w:line="360" w:lineRule="auto"/>
        <w:ind w:left="284" w:firstLine="0"/>
        <w:jc w:val="both"/>
        <w:rPr>
          <w:rFonts w:ascii="Century" w:hAnsi="Century"/>
          <w:b/>
          <w:sz w:val="24"/>
          <w:szCs w:val="24"/>
        </w:rPr>
      </w:pPr>
      <w:r w:rsidRPr="002C13F3">
        <w:rPr>
          <w:rFonts w:ascii="Century" w:eastAsia="Times New Roman" w:hAnsi="Century" w:cs="Arial"/>
          <w:bCs/>
          <w:sz w:val="24"/>
          <w:szCs w:val="24"/>
        </w:rPr>
        <w:t>Ley 22/2009, de 18 de diciembre, por la que se regula el sistema de financiación de las Comunidades Autónomas de régimen común y Ciudades con Estatuto de Autonomía y se modifican determinadas normas tributarias.</w:t>
      </w:r>
    </w:p>
    <w:p w:rsidR="00994D4C" w:rsidRPr="00362A07" w:rsidRDefault="00994D4C" w:rsidP="00A10F6E">
      <w:pPr>
        <w:pStyle w:val="Prrafodelista"/>
        <w:tabs>
          <w:tab w:val="left" w:pos="567"/>
        </w:tabs>
        <w:spacing w:after="240" w:line="360" w:lineRule="auto"/>
        <w:jc w:val="both"/>
        <w:rPr>
          <w:rFonts w:ascii="Century" w:hAnsi="Century"/>
          <w:sz w:val="10"/>
          <w:szCs w:val="10"/>
        </w:rPr>
      </w:pPr>
    </w:p>
    <w:p w:rsidR="00994D4C" w:rsidRDefault="00994D4C" w:rsidP="00A10F6E">
      <w:pPr>
        <w:pStyle w:val="Prrafodelista"/>
        <w:numPr>
          <w:ilvl w:val="0"/>
          <w:numId w:val="9"/>
        </w:numPr>
        <w:tabs>
          <w:tab w:val="left" w:pos="567"/>
        </w:tabs>
        <w:spacing w:after="240" w:line="360" w:lineRule="auto"/>
        <w:ind w:left="284" w:firstLine="0"/>
        <w:jc w:val="both"/>
        <w:rPr>
          <w:rFonts w:ascii="Century" w:eastAsia="Times New Roman" w:hAnsi="Century" w:cs="Times New Roman"/>
          <w:bCs/>
          <w:sz w:val="24"/>
          <w:szCs w:val="24"/>
        </w:rPr>
      </w:pPr>
      <w:r w:rsidRPr="00B23A78">
        <w:rPr>
          <w:rFonts w:ascii="Century" w:eastAsia="Times New Roman" w:hAnsi="Century" w:cs="Times New Roman"/>
          <w:bCs/>
          <w:sz w:val="24"/>
          <w:szCs w:val="24"/>
        </w:rPr>
        <w:t>Ley 26/2014, de 27 de noviembre, por la que se modifican la Ley 35/2006, de 28 de noviembre, del Impuesto sobre la Renta de las Personas Físicas, el texto refundido de la Ley del Impuesto sobre la Renta de no Residentes, aprobado por el Real Decreto Legislativo 5/2004, de 5 de marzo, y otras normas tributarias.</w:t>
      </w:r>
    </w:p>
    <w:p w:rsidR="00994D4C" w:rsidRDefault="00994D4C" w:rsidP="002D11BC">
      <w:pPr>
        <w:pStyle w:val="Prrafodelista"/>
        <w:spacing w:after="240" w:line="360" w:lineRule="auto"/>
        <w:ind w:left="284"/>
        <w:jc w:val="both"/>
        <w:rPr>
          <w:rFonts w:ascii="Century" w:eastAsia="Times New Roman" w:hAnsi="Century" w:cs="Times New Roman"/>
          <w:bCs/>
          <w:sz w:val="10"/>
          <w:szCs w:val="10"/>
        </w:rPr>
      </w:pPr>
    </w:p>
    <w:p w:rsidR="00994D4C" w:rsidRDefault="00994D4C" w:rsidP="002D11BC">
      <w:pPr>
        <w:spacing w:after="240" w:line="360" w:lineRule="auto"/>
        <w:jc w:val="both"/>
        <w:rPr>
          <w:rFonts w:cstheme="minorHAnsi"/>
          <w:b/>
          <w:sz w:val="24"/>
          <w:szCs w:val="24"/>
        </w:rPr>
      </w:pPr>
      <w:r w:rsidRPr="004C485B">
        <w:rPr>
          <w:rFonts w:ascii="Century" w:hAnsi="Century"/>
          <w:b/>
          <w:sz w:val="24"/>
          <w:szCs w:val="24"/>
          <w:u w:val="single"/>
        </w:rPr>
        <w:t>Legislación autonómica</w:t>
      </w:r>
      <w:r w:rsidRPr="00514069">
        <w:rPr>
          <w:rFonts w:cstheme="minorHAnsi"/>
          <w:b/>
          <w:sz w:val="24"/>
          <w:szCs w:val="24"/>
        </w:rPr>
        <w:t>:</w:t>
      </w:r>
    </w:p>
    <w:p w:rsidR="00994D4C" w:rsidRPr="004C485B" w:rsidRDefault="00994D4C" w:rsidP="003E7B6C">
      <w:pPr>
        <w:pStyle w:val="Prrafodelista"/>
        <w:numPr>
          <w:ilvl w:val="0"/>
          <w:numId w:val="22"/>
        </w:numPr>
        <w:tabs>
          <w:tab w:val="left" w:pos="567"/>
        </w:tabs>
        <w:spacing w:after="240" w:line="360" w:lineRule="auto"/>
        <w:ind w:left="284" w:firstLine="0"/>
        <w:jc w:val="both"/>
        <w:rPr>
          <w:rFonts w:ascii="Century" w:hAnsi="Century"/>
          <w:b/>
          <w:sz w:val="24"/>
          <w:szCs w:val="24"/>
        </w:rPr>
      </w:pPr>
      <w:r w:rsidRPr="004C485B">
        <w:rPr>
          <w:rFonts w:ascii="Century" w:hAnsi="Century"/>
          <w:b/>
          <w:sz w:val="24"/>
          <w:szCs w:val="24"/>
        </w:rPr>
        <w:t>Andalucía</w:t>
      </w:r>
      <w:r w:rsidRPr="004C485B">
        <w:rPr>
          <w:rFonts w:cstheme="minorHAnsi"/>
          <w:b/>
          <w:sz w:val="24"/>
          <w:szCs w:val="24"/>
        </w:rPr>
        <w:t>:</w:t>
      </w:r>
      <w:r w:rsidRPr="004C485B">
        <w:rPr>
          <w:rFonts w:ascii="Century" w:hAnsi="Century"/>
          <w:b/>
          <w:sz w:val="24"/>
          <w:szCs w:val="24"/>
        </w:rPr>
        <w:t xml:space="preserve"> </w:t>
      </w:r>
    </w:p>
    <w:p w:rsidR="00B26BC6" w:rsidRPr="00B26BC6" w:rsidRDefault="00B26BC6" w:rsidP="003E7B6C">
      <w:pPr>
        <w:pStyle w:val="Prrafodelista"/>
        <w:numPr>
          <w:ilvl w:val="0"/>
          <w:numId w:val="10"/>
        </w:numPr>
        <w:tabs>
          <w:tab w:val="left" w:pos="851"/>
        </w:tabs>
        <w:spacing w:after="240" w:line="360" w:lineRule="auto"/>
        <w:ind w:left="567" w:firstLine="0"/>
        <w:jc w:val="both"/>
        <w:rPr>
          <w:rFonts w:ascii="Century" w:eastAsia="Times New Roman" w:hAnsi="Century" w:cs="Times New Roman"/>
          <w:bCs/>
          <w:sz w:val="24"/>
          <w:szCs w:val="24"/>
        </w:rPr>
      </w:pPr>
      <w:r w:rsidRPr="002C13F3">
        <w:rPr>
          <w:rFonts w:ascii="Century" w:eastAsia="Times New Roman" w:hAnsi="Century" w:cs="Times New Roman"/>
          <w:bCs/>
          <w:sz w:val="24"/>
          <w:szCs w:val="24"/>
        </w:rPr>
        <w:t>Decreto Legislativo 1/2009, de 1 de septiembre, por el que se aprueba el Texto Refundido de las disposiciones dictadas por la Comunidad Autónoma de Andalucía en materia de tributos cedidos.</w:t>
      </w:r>
    </w:p>
    <w:p w:rsidR="00B945DF" w:rsidRPr="00B945DF" w:rsidRDefault="00994D4C" w:rsidP="00B945DF">
      <w:pPr>
        <w:pStyle w:val="Ttulo4"/>
        <w:keepNext w:val="0"/>
        <w:keepLines w:val="0"/>
        <w:numPr>
          <w:ilvl w:val="0"/>
          <w:numId w:val="10"/>
        </w:numPr>
        <w:tabs>
          <w:tab w:val="left" w:pos="851"/>
        </w:tabs>
        <w:spacing w:line="360" w:lineRule="auto"/>
        <w:ind w:left="567" w:firstLine="0"/>
        <w:jc w:val="both"/>
        <w:rPr>
          <w:rFonts w:ascii="Century" w:hAnsi="Century"/>
          <w:b w:val="0"/>
          <w:i w:val="0"/>
          <w:color w:val="auto"/>
          <w:sz w:val="24"/>
          <w:szCs w:val="24"/>
        </w:rPr>
      </w:pPr>
      <w:r w:rsidRPr="002C13F3">
        <w:rPr>
          <w:rFonts w:ascii="Century" w:hAnsi="Century"/>
          <w:b w:val="0"/>
          <w:i w:val="0"/>
          <w:color w:val="auto"/>
          <w:sz w:val="24"/>
          <w:szCs w:val="24"/>
        </w:rPr>
        <w:lastRenderedPageBreak/>
        <w:t>Decreto-ley 4/2016, de 26 de julio, de medidas urgentes relativas al Impuesto sobre Sucesiones y Donaciones</w:t>
      </w:r>
      <w:r w:rsidRPr="00514069">
        <w:rPr>
          <w:rFonts w:asciiTheme="minorHAnsi" w:hAnsiTheme="minorHAnsi" w:cstheme="minorHAnsi"/>
          <w:b w:val="0"/>
          <w:i w:val="0"/>
          <w:color w:val="auto"/>
          <w:sz w:val="24"/>
          <w:szCs w:val="24"/>
        </w:rPr>
        <w:t>:</w:t>
      </w:r>
      <w:r w:rsidRPr="002C13F3">
        <w:rPr>
          <w:rFonts w:ascii="Century" w:hAnsi="Century"/>
          <w:b w:val="0"/>
          <w:i w:val="0"/>
          <w:color w:val="auto"/>
          <w:sz w:val="24"/>
          <w:szCs w:val="24"/>
        </w:rPr>
        <w:t xml:space="preserve"> Modificación del Texto Refundido de las disposiciones dictadas por la Comunidad Autónoma de Andalucía en materia de tributos cedidos, aprobado por Decreto Legislativo 1/2009, de 1 de septiembre.</w:t>
      </w:r>
    </w:p>
    <w:p w:rsidR="00994D4C" w:rsidRDefault="00994D4C" w:rsidP="00B945DF">
      <w:pPr>
        <w:pStyle w:val="Prrafodelista"/>
        <w:numPr>
          <w:ilvl w:val="0"/>
          <w:numId w:val="22"/>
        </w:numPr>
        <w:tabs>
          <w:tab w:val="left" w:pos="567"/>
        </w:tabs>
        <w:spacing w:before="200" w:after="0" w:line="360" w:lineRule="auto"/>
        <w:ind w:left="284" w:firstLine="0"/>
        <w:jc w:val="both"/>
        <w:rPr>
          <w:rFonts w:ascii="Century" w:eastAsia="Times New Roman" w:hAnsi="Century" w:cs="Times New Roman"/>
          <w:b/>
          <w:bCs/>
          <w:sz w:val="24"/>
          <w:szCs w:val="24"/>
        </w:rPr>
      </w:pPr>
      <w:r w:rsidRPr="004C485B">
        <w:rPr>
          <w:rFonts w:ascii="Century" w:eastAsia="Times New Roman" w:hAnsi="Century" w:cs="Times New Roman"/>
          <w:b/>
          <w:bCs/>
          <w:sz w:val="24"/>
          <w:szCs w:val="24"/>
        </w:rPr>
        <w:t>Aragón</w:t>
      </w:r>
      <w:r w:rsidRPr="004C485B">
        <w:rPr>
          <w:rFonts w:eastAsia="Times New Roman" w:cstheme="minorHAnsi"/>
          <w:b/>
          <w:bCs/>
          <w:sz w:val="24"/>
          <w:szCs w:val="24"/>
        </w:rPr>
        <w:t>:</w:t>
      </w:r>
      <w:r w:rsidRPr="004C485B">
        <w:rPr>
          <w:rFonts w:ascii="Century" w:eastAsia="Times New Roman" w:hAnsi="Century" w:cs="Times New Roman"/>
          <w:b/>
          <w:bCs/>
          <w:sz w:val="24"/>
          <w:szCs w:val="24"/>
        </w:rPr>
        <w:t xml:space="preserve"> </w:t>
      </w:r>
    </w:p>
    <w:p w:rsidR="00B945DF" w:rsidRDefault="00994D4C" w:rsidP="00B945DF">
      <w:pPr>
        <w:pStyle w:val="Prrafodelista"/>
        <w:numPr>
          <w:ilvl w:val="0"/>
          <w:numId w:val="19"/>
        </w:numPr>
        <w:tabs>
          <w:tab w:val="left" w:pos="567"/>
          <w:tab w:val="left" w:pos="851"/>
          <w:tab w:val="left" w:pos="993"/>
        </w:tabs>
        <w:spacing w:before="200" w:line="360" w:lineRule="auto"/>
        <w:ind w:left="567" w:firstLine="0"/>
        <w:jc w:val="both"/>
        <w:rPr>
          <w:rFonts w:ascii="Century" w:eastAsia="Times New Roman" w:hAnsi="Century" w:cs="Times New Roman"/>
          <w:bCs/>
          <w:sz w:val="24"/>
          <w:szCs w:val="24"/>
        </w:rPr>
      </w:pPr>
      <w:r w:rsidRPr="00E87EF5">
        <w:rPr>
          <w:rFonts w:ascii="Century" w:eastAsia="Times New Roman" w:hAnsi="Century" w:cs="Times New Roman"/>
          <w:bCs/>
          <w:sz w:val="24"/>
          <w:szCs w:val="24"/>
        </w:rPr>
        <w:t>Decreto Legislativo 1/2005, de 26 de septiembre, del Gobierno de Aragón, por el que se aprueba el texto refundido de las disposiciones dictadas por la Comunidad Autónoma de Aragón en materia de tributos cedidos.</w:t>
      </w:r>
    </w:p>
    <w:p w:rsidR="00B945DF" w:rsidRPr="00B945DF" w:rsidRDefault="00B945DF" w:rsidP="00B945DF">
      <w:pPr>
        <w:pStyle w:val="Prrafodelista"/>
        <w:tabs>
          <w:tab w:val="left" w:pos="567"/>
          <w:tab w:val="left" w:pos="851"/>
          <w:tab w:val="left" w:pos="993"/>
        </w:tabs>
        <w:spacing w:before="200" w:line="360" w:lineRule="auto"/>
        <w:ind w:left="567"/>
        <w:jc w:val="both"/>
        <w:rPr>
          <w:rFonts w:ascii="Century" w:eastAsia="Times New Roman" w:hAnsi="Century" w:cs="Times New Roman"/>
          <w:bCs/>
          <w:sz w:val="12"/>
          <w:szCs w:val="12"/>
        </w:rPr>
      </w:pPr>
    </w:p>
    <w:p w:rsidR="00994D4C" w:rsidRDefault="00994D4C" w:rsidP="00B945DF">
      <w:pPr>
        <w:pStyle w:val="Prrafodelista"/>
        <w:numPr>
          <w:ilvl w:val="0"/>
          <w:numId w:val="22"/>
        </w:numPr>
        <w:tabs>
          <w:tab w:val="left" w:pos="567"/>
        </w:tabs>
        <w:spacing w:before="200" w:after="240" w:line="360" w:lineRule="auto"/>
        <w:ind w:left="284" w:firstLine="0"/>
        <w:jc w:val="both"/>
        <w:rPr>
          <w:rFonts w:ascii="Century" w:hAnsi="Century"/>
          <w:b/>
          <w:bCs/>
          <w:caps/>
          <w:sz w:val="24"/>
          <w:szCs w:val="24"/>
        </w:rPr>
      </w:pPr>
      <w:r w:rsidRPr="004C485B">
        <w:rPr>
          <w:rFonts w:ascii="Century" w:hAnsi="Century"/>
          <w:b/>
          <w:bCs/>
          <w:caps/>
          <w:sz w:val="24"/>
          <w:szCs w:val="24"/>
        </w:rPr>
        <w:t>A</w:t>
      </w:r>
      <w:r w:rsidRPr="004C485B">
        <w:rPr>
          <w:rFonts w:ascii="Century" w:hAnsi="Century"/>
          <w:b/>
          <w:bCs/>
          <w:sz w:val="24"/>
          <w:szCs w:val="24"/>
        </w:rPr>
        <w:t>sturias</w:t>
      </w:r>
      <w:r w:rsidRPr="004C485B">
        <w:rPr>
          <w:rFonts w:cstheme="minorHAnsi"/>
          <w:b/>
          <w:bCs/>
          <w:caps/>
          <w:sz w:val="24"/>
          <w:szCs w:val="24"/>
        </w:rPr>
        <w:t>:</w:t>
      </w:r>
      <w:r w:rsidRPr="004C485B">
        <w:rPr>
          <w:rFonts w:ascii="Century" w:hAnsi="Century"/>
          <w:b/>
          <w:bCs/>
          <w:caps/>
          <w:sz w:val="24"/>
          <w:szCs w:val="24"/>
        </w:rPr>
        <w:t xml:space="preserve"> </w:t>
      </w:r>
    </w:p>
    <w:p w:rsidR="00994D4C" w:rsidRPr="00B945DF" w:rsidRDefault="00994D4C" w:rsidP="00B945DF">
      <w:pPr>
        <w:pStyle w:val="Prrafodelista"/>
        <w:numPr>
          <w:ilvl w:val="0"/>
          <w:numId w:val="19"/>
        </w:numPr>
        <w:tabs>
          <w:tab w:val="left" w:pos="567"/>
          <w:tab w:val="left" w:pos="851"/>
        </w:tabs>
        <w:spacing w:before="200" w:after="240" w:line="360" w:lineRule="auto"/>
        <w:ind w:left="567" w:firstLine="0"/>
        <w:jc w:val="both"/>
        <w:rPr>
          <w:rFonts w:ascii="Century" w:eastAsia="Times New Roman" w:hAnsi="Century" w:cs="Times New Roman"/>
          <w:bCs/>
          <w:sz w:val="24"/>
          <w:szCs w:val="24"/>
        </w:rPr>
      </w:pPr>
      <w:r w:rsidRPr="00E87EF5">
        <w:rPr>
          <w:rFonts w:ascii="Century" w:hAnsi="Century"/>
          <w:bCs/>
          <w:sz w:val="24"/>
          <w:szCs w:val="24"/>
        </w:rPr>
        <w:t>Decreto Legislativo 2/2014, de 22 de octubre, por el que se aprueba el texto refundido de las disposiciones legales del principado de Asturias en materia de tributos cedidos por el Estado</w:t>
      </w:r>
      <w:r w:rsidR="00B945DF">
        <w:rPr>
          <w:rFonts w:ascii="Century" w:hAnsi="Century"/>
          <w:bCs/>
          <w:sz w:val="24"/>
          <w:szCs w:val="24"/>
        </w:rPr>
        <w:t>.</w:t>
      </w:r>
    </w:p>
    <w:p w:rsidR="00B945DF" w:rsidRPr="00B945DF" w:rsidRDefault="00B945DF" w:rsidP="00B945DF">
      <w:pPr>
        <w:pStyle w:val="Prrafodelista"/>
        <w:tabs>
          <w:tab w:val="left" w:pos="567"/>
          <w:tab w:val="left" w:pos="851"/>
        </w:tabs>
        <w:spacing w:before="200" w:after="240" w:line="360" w:lineRule="auto"/>
        <w:ind w:left="567"/>
        <w:jc w:val="both"/>
        <w:rPr>
          <w:rFonts w:ascii="Century" w:eastAsia="Times New Roman" w:hAnsi="Century" w:cs="Times New Roman"/>
          <w:bCs/>
          <w:sz w:val="12"/>
          <w:szCs w:val="12"/>
        </w:rPr>
      </w:pPr>
    </w:p>
    <w:p w:rsidR="00994D4C" w:rsidRPr="004C485B" w:rsidRDefault="00994D4C" w:rsidP="00B945DF">
      <w:pPr>
        <w:pStyle w:val="Prrafodelista"/>
        <w:numPr>
          <w:ilvl w:val="0"/>
          <w:numId w:val="22"/>
        </w:numPr>
        <w:tabs>
          <w:tab w:val="left" w:pos="567"/>
        </w:tabs>
        <w:spacing w:before="200" w:after="240" w:line="360" w:lineRule="auto"/>
        <w:ind w:left="284" w:firstLine="0"/>
        <w:jc w:val="both"/>
        <w:rPr>
          <w:rFonts w:cstheme="minorHAnsi"/>
          <w:b/>
          <w:sz w:val="24"/>
          <w:szCs w:val="24"/>
        </w:rPr>
      </w:pPr>
      <w:r w:rsidRPr="004C485B">
        <w:rPr>
          <w:rFonts w:ascii="Century" w:hAnsi="Century"/>
          <w:b/>
          <w:sz w:val="24"/>
          <w:szCs w:val="24"/>
        </w:rPr>
        <w:t>Baleares</w:t>
      </w:r>
      <w:r w:rsidRPr="004C485B">
        <w:rPr>
          <w:rFonts w:cstheme="minorHAnsi"/>
          <w:b/>
          <w:sz w:val="24"/>
          <w:szCs w:val="24"/>
        </w:rPr>
        <w:t>:</w:t>
      </w:r>
    </w:p>
    <w:p w:rsidR="00994D4C" w:rsidRPr="00B945DF" w:rsidRDefault="00994D4C" w:rsidP="00B945DF">
      <w:pPr>
        <w:pStyle w:val="Prrafodelista"/>
        <w:numPr>
          <w:ilvl w:val="0"/>
          <w:numId w:val="19"/>
        </w:numPr>
        <w:tabs>
          <w:tab w:val="left" w:pos="567"/>
          <w:tab w:val="left" w:pos="851"/>
        </w:tabs>
        <w:spacing w:before="200" w:after="0" w:line="360" w:lineRule="auto"/>
        <w:ind w:left="567" w:firstLine="0"/>
        <w:jc w:val="both"/>
        <w:rPr>
          <w:rFonts w:ascii="Century" w:hAnsi="Century"/>
          <w:bCs/>
          <w:caps/>
          <w:sz w:val="24"/>
          <w:szCs w:val="24"/>
        </w:rPr>
      </w:pPr>
      <w:r w:rsidRPr="00E87EF5">
        <w:rPr>
          <w:rFonts w:ascii="Century" w:hAnsi="Century"/>
          <w:bCs/>
          <w:sz w:val="24"/>
          <w:szCs w:val="24"/>
        </w:rPr>
        <w:t>Decreto Legislativo 1/2014, de 6 de junio, por el que se aprueba el texto refundido de las disposiciones legales de la comunidad autónoma de las Illes Balears en materia de tributos cedidos por el Estado.</w:t>
      </w:r>
    </w:p>
    <w:p w:rsidR="00B945DF" w:rsidRPr="00B945DF" w:rsidRDefault="00B945DF" w:rsidP="00B945DF">
      <w:pPr>
        <w:pStyle w:val="Prrafodelista"/>
        <w:tabs>
          <w:tab w:val="left" w:pos="567"/>
          <w:tab w:val="left" w:pos="851"/>
        </w:tabs>
        <w:spacing w:before="200" w:after="0" w:line="360" w:lineRule="auto"/>
        <w:ind w:left="567"/>
        <w:jc w:val="both"/>
        <w:rPr>
          <w:rFonts w:ascii="Century" w:hAnsi="Century"/>
          <w:bCs/>
          <w:caps/>
          <w:sz w:val="12"/>
          <w:szCs w:val="12"/>
        </w:rPr>
      </w:pPr>
    </w:p>
    <w:p w:rsidR="00994D4C" w:rsidRPr="004C485B" w:rsidRDefault="00994D4C" w:rsidP="003E7B6C">
      <w:pPr>
        <w:pStyle w:val="Default"/>
        <w:numPr>
          <w:ilvl w:val="0"/>
          <w:numId w:val="22"/>
        </w:numPr>
        <w:tabs>
          <w:tab w:val="left" w:pos="567"/>
        </w:tabs>
        <w:spacing w:line="360" w:lineRule="auto"/>
        <w:ind w:left="284" w:firstLine="0"/>
        <w:jc w:val="both"/>
        <w:rPr>
          <w:rFonts w:ascii="Century" w:hAnsi="Century"/>
          <w:b/>
          <w:bCs/>
          <w:caps/>
        </w:rPr>
      </w:pPr>
      <w:r w:rsidRPr="004C485B">
        <w:rPr>
          <w:rFonts w:ascii="Century" w:hAnsi="Century"/>
          <w:b/>
          <w:bCs/>
          <w:caps/>
        </w:rPr>
        <w:t>C</w:t>
      </w:r>
      <w:r w:rsidRPr="004C485B">
        <w:rPr>
          <w:rFonts w:ascii="Century" w:hAnsi="Century"/>
          <w:b/>
          <w:bCs/>
        </w:rPr>
        <w:t>anarias</w:t>
      </w:r>
      <w:r w:rsidRPr="004C485B">
        <w:rPr>
          <w:rFonts w:asciiTheme="minorHAnsi" w:hAnsiTheme="minorHAnsi" w:cstheme="minorHAnsi"/>
          <w:b/>
          <w:bCs/>
          <w:caps/>
        </w:rPr>
        <w:t>:</w:t>
      </w:r>
      <w:r w:rsidRPr="004C485B">
        <w:rPr>
          <w:rFonts w:ascii="Century" w:hAnsi="Century"/>
          <w:b/>
          <w:bCs/>
          <w:caps/>
        </w:rPr>
        <w:t xml:space="preserve"> </w:t>
      </w:r>
    </w:p>
    <w:p w:rsidR="00994D4C" w:rsidRDefault="00994D4C" w:rsidP="003E7B6C">
      <w:pPr>
        <w:pStyle w:val="Default"/>
        <w:numPr>
          <w:ilvl w:val="0"/>
          <w:numId w:val="19"/>
        </w:numPr>
        <w:tabs>
          <w:tab w:val="left" w:pos="567"/>
          <w:tab w:val="left" w:pos="851"/>
        </w:tabs>
        <w:spacing w:line="360" w:lineRule="auto"/>
        <w:ind w:left="567" w:firstLine="0"/>
        <w:jc w:val="both"/>
        <w:rPr>
          <w:rFonts w:ascii="Century" w:hAnsi="Century"/>
        </w:rPr>
      </w:pPr>
      <w:r w:rsidRPr="002C13F3">
        <w:rPr>
          <w:rFonts w:ascii="Century" w:hAnsi="Century"/>
        </w:rPr>
        <w:t>Decreto Legislativo 1/2009, de 21 de abril, por el que se aprueba el Texto Refundido de las disposiciones legales vigentes dictadas por la Comunidad Autónoma de Canarias en materia de tributos cedidos.</w:t>
      </w:r>
    </w:p>
    <w:p w:rsidR="00B945DF" w:rsidRPr="00B945DF" w:rsidRDefault="00B945DF" w:rsidP="00B945DF">
      <w:pPr>
        <w:pStyle w:val="Default"/>
        <w:tabs>
          <w:tab w:val="left" w:pos="567"/>
          <w:tab w:val="left" w:pos="851"/>
        </w:tabs>
        <w:spacing w:line="360" w:lineRule="auto"/>
        <w:ind w:left="567"/>
        <w:jc w:val="both"/>
        <w:rPr>
          <w:rFonts w:ascii="Century" w:hAnsi="Century"/>
          <w:sz w:val="12"/>
          <w:szCs w:val="12"/>
        </w:rPr>
      </w:pPr>
    </w:p>
    <w:p w:rsidR="00B26BC6" w:rsidRDefault="00994D4C" w:rsidP="003E7B6C">
      <w:pPr>
        <w:pStyle w:val="Default"/>
        <w:numPr>
          <w:ilvl w:val="0"/>
          <w:numId w:val="22"/>
        </w:numPr>
        <w:tabs>
          <w:tab w:val="left" w:pos="567"/>
        </w:tabs>
        <w:spacing w:line="360" w:lineRule="auto"/>
        <w:ind w:left="284" w:firstLine="0"/>
        <w:jc w:val="both"/>
        <w:rPr>
          <w:rFonts w:ascii="Century" w:hAnsi="Century"/>
          <w:b/>
        </w:rPr>
      </w:pPr>
      <w:r w:rsidRPr="004C485B">
        <w:rPr>
          <w:rFonts w:ascii="Century" w:hAnsi="Century"/>
          <w:b/>
        </w:rPr>
        <w:t>Cantabria</w:t>
      </w:r>
      <w:r w:rsidRPr="004C485B">
        <w:rPr>
          <w:rFonts w:asciiTheme="minorHAnsi" w:hAnsiTheme="minorHAnsi" w:cstheme="minorHAnsi"/>
          <w:b/>
        </w:rPr>
        <w:t>:</w:t>
      </w:r>
      <w:r w:rsidRPr="004C485B">
        <w:rPr>
          <w:rFonts w:ascii="Century" w:hAnsi="Century"/>
          <w:b/>
        </w:rPr>
        <w:t xml:space="preserve"> </w:t>
      </w:r>
    </w:p>
    <w:p w:rsidR="00B26BC6" w:rsidRPr="002D075E" w:rsidRDefault="00B26BC6" w:rsidP="002D075E">
      <w:pPr>
        <w:pStyle w:val="Default"/>
        <w:numPr>
          <w:ilvl w:val="0"/>
          <w:numId w:val="26"/>
        </w:numPr>
        <w:tabs>
          <w:tab w:val="left" w:pos="567"/>
        </w:tabs>
        <w:spacing w:line="360" w:lineRule="auto"/>
        <w:ind w:left="851" w:hanging="284"/>
        <w:jc w:val="both"/>
        <w:rPr>
          <w:rFonts w:ascii="Century" w:hAnsi="Century"/>
          <w:b/>
        </w:rPr>
      </w:pPr>
      <w:r w:rsidRPr="00B26BC6">
        <w:rPr>
          <w:rFonts w:ascii="Century" w:hAnsi="Century"/>
        </w:rPr>
        <w:t xml:space="preserve">Decreto Legislativo 62/08, de 19 de junio, por el que se aprueba el texto refundido de la Ley de Medidas Fiscales en materia de Tributos cedidos por el Estado. </w:t>
      </w:r>
    </w:p>
    <w:p w:rsidR="002D075E" w:rsidRPr="002D075E" w:rsidRDefault="002D075E" w:rsidP="002D075E">
      <w:pPr>
        <w:pStyle w:val="Default"/>
        <w:tabs>
          <w:tab w:val="left" w:pos="567"/>
        </w:tabs>
        <w:spacing w:line="360" w:lineRule="auto"/>
        <w:ind w:left="851"/>
        <w:jc w:val="both"/>
        <w:rPr>
          <w:rFonts w:ascii="Century" w:hAnsi="Century"/>
          <w:b/>
          <w:sz w:val="12"/>
          <w:szCs w:val="12"/>
        </w:rPr>
      </w:pPr>
    </w:p>
    <w:p w:rsidR="00994D4C" w:rsidRDefault="00994D4C" w:rsidP="002D075E">
      <w:pPr>
        <w:pStyle w:val="Default"/>
        <w:numPr>
          <w:ilvl w:val="0"/>
          <w:numId w:val="26"/>
        </w:numPr>
        <w:tabs>
          <w:tab w:val="left" w:pos="567"/>
        </w:tabs>
        <w:spacing w:after="240" w:line="360" w:lineRule="auto"/>
        <w:ind w:left="851" w:hanging="284"/>
        <w:jc w:val="both"/>
        <w:rPr>
          <w:rFonts w:ascii="Century" w:hAnsi="Century"/>
        </w:rPr>
      </w:pPr>
      <w:r w:rsidRPr="002C13F3">
        <w:rPr>
          <w:rFonts w:ascii="Century" w:hAnsi="Century"/>
        </w:rPr>
        <w:t>Ley 1/2012, de 12 de enero, por la que se modifica el texto refundido de la Ley de Medidas Fiscales en materia de tributos cedidos por el Estado, aprobado por Decreto Legislativo 62/08, de 19 de junio.</w:t>
      </w:r>
    </w:p>
    <w:p w:rsidR="00994D4C" w:rsidRPr="004C485B" w:rsidRDefault="00994D4C" w:rsidP="003E7B6C">
      <w:pPr>
        <w:pStyle w:val="Default"/>
        <w:numPr>
          <w:ilvl w:val="0"/>
          <w:numId w:val="22"/>
        </w:numPr>
        <w:tabs>
          <w:tab w:val="left" w:pos="567"/>
        </w:tabs>
        <w:spacing w:line="360" w:lineRule="auto"/>
        <w:ind w:left="284" w:firstLine="0"/>
        <w:jc w:val="both"/>
        <w:rPr>
          <w:rFonts w:ascii="Century" w:hAnsi="Century"/>
          <w:b/>
        </w:rPr>
      </w:pPr>
      <w:r w:rsidRPr="004C485B">
        <w:rPr>
          <w:rFonts w:ascii="Century" w:hAnsi="Century"/>
          <w:b/>
        </w:rPr>
        <w:lastRenderedPageBreak/>
        <w:t>Castilla- La Mancha</w:t>
      </w:r>
      <w:r w:rsidRPr="004C485B">
        <w:rPr>
          <w:rFonts w:asciiTheme="minorHAnsi" w:hAnsiTheme="minorHAnsi" w:cstheme="minorHAnsi"/>
          <w:b/>
        </w:rPr>
        <w:t>:</w:t>
      </w:r>
      <w:r w:rsidRPr="004C485B">
        <w:rPr>
          <w:rFonts w:ascii="Century" w:hAnsi="Century"/>
          <w:b/>
        </w:rPr>
        <w:t xml:space="preserve"> </w:t>
      </w:r>
    </w:p>
    <w:p w:rsidR="00994D4C" w:rsidRPr="00061CE0" w:rsidRDefault="00994D4C" w:rsidP="002D075E">
      <w:pPr>
        <w:pStyle w:val="Default"/>
        <w:numPr>
          <w:ilvl w:val="0"/>
          <w:numId w:val="20"/>
        </w:numPr>
        <w:tabs>
          <w:tab w:val="left" w:pos="851"/>
        </w:tabs>
        <w:spacing w:line="360" w:lineRule="auto"/>
        <w:ind w:firstLine="0"/>
        <w:jc w:val="both"/>
        <w:rPr>
          <w:rFonts w:ascii="Century" w:hAnsi="Century"/>
          <w:sz w:val="14"/>
          <w:szCs w:val="14"/>
        </w:rPr>
      </w:pPr>
      <w:r w:rsidRPr="00061CE0">
        <w:rPr>
          <w:rFonts w:ascii="Century" w:hAnsi="Century"/>
        </w:rPr>
        <w:t>Ley 8/2013, de 21 de noviembre, de Medidas Tributarias de Castilla-La Mancha.</w:t>
      </w:r>
    </w:p>
    <w:p w:rsidR="00061CE0" w:rsidRPr="00061CE0" w:rsidRDefault="00061CE0" w:rsidP="00061CE0">
      <w:pPr>
        <w:pStyle w:val="Default"/>
        <w:tabs>
          <w:tab w:val="left" w:pos="567"/>
        </w:tabs>
        <w:spacing w:line="360" w:lineRule="auto"/>
        <w:ind w:left="578"/>
        <w:jc w:val="both"/>
        <w:rPr>
          <w:rFonts w:ascii="Century" w:hAnsi="Century"/>
          <w:sz w:val="12"/>
          <w:szCs w:val="12"/>
        </w:rPr>
      </w:pPr>
    </w:p>
    <w:p w:rsidR="00994D4C" w:rsidRPr="004C485B" w:rsidRDefault="00994D4C" w:rsidP="003E7B6C">
      <w:pPr>
        <w:pStyle w:val="Default"/>
        <w:numPr>
          <w:ilvl w:val="0"/>
          <w:numId w:val="22"/>
        </w:numPr>
        <w:tabs>
          <w:tab w:val="left" w:pos="567"/>
        </w:tabs>
        <w:spacing w:line="360" w:lineRule="auto"/>
        <w:ind w:left="284" w:firstLine="0"/>
        <w:jc w:val="both"/>
        <w:rPr>
          <w:rFonts w:ascii="Century" w:hAnsi="Century"/>
          <w:b/>
          <w:bCs/>
          <w:caps/>
        </w:rPr>
      </w:pPr>
      <w:r w:rsidRPr="004C485B">
        <w:rPr>
          <w:rFonts w:ascii="Century" w:hAnsi="Century"/>
          <w:b/>
          <w:bCs/>
        </w:rPr>
        <w:t>Castilla y León</w:t>
      </w:r>
      <w:r w:rsidRPr="004C485B">
        <w:rPr>
          <w:rFonts w:asciiTheme="minorHAnsi" w:hAnsiTheme="minorHAnsi" w:cstheme="minorHAnsi"/>
          <w:b/>
          <w:bCs/>
          <w:caps/>
        </w:rPr>
        <w:t>:</w:t>
      </w:r>
      <w:r w:rsidRPr="004C485B">
        <w:rPr>
          <w:rFonts w:ascii="Century" w:hAnsi="Century"/>
          <w:b/>
          <w:bCs/>
          <w:caps/>
        </w:rPr>
        <w:t xml:space="preserve"> </w:t>
      </w:r>
    </w:p>
    <w:p w:rsidR="00994D4C" w:rsidRPr="00061CE0" w:rsidRDefault="00994D4C" w:rsidP="002D075E">
      <w:pPr>
        <w:pStyle w:val="Default"/>
        <w:numPr>
          <w:ilvl w:val="0"/>
          <w:numId w:val="20"/>
        </w:numPr>
        <w:tabs>
          <w:tab w:val="left" w:pos="851"/>
        </w:tabs>
        <w:spacing w:line="360" w:lineRule="auto"/>
        <w:ind w:firstLine="0"/>
        <w:jc w:val="both"/>
        <w:rPr>
          <w:rFonts w:ascii="Century" w:hAnsi="Century"/>
          <w:bCs/>
          <w:sz w:val="14"/>
          <w:szCs w:val="14"/>
        </w:rPr>
      </w:pPr>
      <w:r w:rsidRPr="00061CE0">
        <w:rPr>
          <w:rFonts w:ascii="Century" w:hAnsi="Century"/>
          <w:bCs/>
        </w:rPr>
        <w:t>Decreto Legislativo 1/2013, de 12 de septiembre, por el que se aprueba el texto refundido de las disposiciones legales de la comunidad de Castilla y León en materia de tributos propios y cedidos.</w:t>
      </w:r>
    </w:p>
    <w:p w:rsidR="00061CE0" w:rsidRPr="00061CE0" w:rsidRDefault="00061CE0" w:rsidP="00061CE0">
      <w:pPr>
        <w:pStyle w:val="Default"/>
        <w:tabs>
          <w:tab w:val="left" w:pos="567"/>
        </w:tabs>
        <w:spacing w:line="360" w:lineRule="auto"/>
        <w:ind w:left="578"/>
        <w:jc w:val="both"/>
        <w:rPr>
          <w:rFonts w:ascii="Century" w:hAnsi="Century"/>
          <w:bCs/>
          <w:sz w:val="12"/>
          <w:szCs w:val="12"/>
        </w:rPr>
      </w:pPr>
    </w:p>
    <w:p w:rsidR="00994D4C" w:rsidRPr="004C485B" w:rsidRDefault="00994D4C" w:rsidP="003E7B6C">
      <w:pPr>
        <w:pStyle w:val="Default"/>
        <w:numPr>
          <w:ilvl w:val="0"/>
          <w:numId w:val="22"/>
        </w:numPr>
        <w:tabs>
          <w:tab w:val="left" w:pos="567"/>
        </w:tabs>
        <w:spacing w:line="360" w:lineRule="auto"/>
        <w:ind w:left="284" w:firstLine="0"/>
        <w:jc w:val="both"/>
        <w:rPr>
          <w:rFonts w:ascii="Century" w:hAnsi="Century"/>
          <w:b/>
          <w:bCs/>
        </w:rPr>
      </w:pPr>
      <w:r w:rsidRPr="004C485B">
        <w:rPr>
          <w:rFonts w:ascii="Century" w:hAnsi="Century"/>
          <w:b/>
          <w:bCs/>
        </w:rPr>
        <w:t>Cataluña</w:t>
      </w:r>
      <w:r w:rsidRPr="004C485B">
        <w:rPr>
          <w:rFonts w:asciiTheme="minorHAnsi" w:hAnsiTheme="minorHAnsi" w:cstheme="minorHAnsi"/>
          <w:b/>
          <w:bCs/>
        </w:rPr>
        <w:t>:</w:t>
      </w:r>
      <w:r w:rsidRPr="004C485B">
        <w:rPr>
          <w:rFonts w:ascii="Century" w:hAnsi="Century"/>
          <w:b/>
          <w:bCs/>
        </w:rPr>
        <w:t xml:space="preserve"> </w:t>
      </w:r>
    </w:p>
    <w:p w:rsidR="00994D4C" w:rsidRPr="00061CE0" w:rsidRDefault="00994D4C" w:rsidP="002D075E">
      <w:pPr>
        <w:pStyle w:val="Default"/>
        <w:numPr>
          <w:ilvl w:val="0"/>
          <w:numId w:val="20"/>
        </w:numPr>
        <w:tabs>
          <w:tab w:val="left" w:pos="851"/>
        </w:tabs>
        <w:spacing w:line="360" w:lineRule="auto"/>
        <w:ind w:firstLine="0"/>
        <w:jc w:val="both"/>
        <w:rPr>
          <w:rFonts w:ascii="Century" w:hAnsi="Century"/>
          <w:sz w:val="14"/>
          <w:szCs w:val="14"/>
        </w:rPr>
      </w:pPr>
      <w:r w:rsidRPr="00061CE0">
        <w:rPr>
          <w:rFonts w:ascii="Century" w:hAnsi="Century"/>
          <w:bCs/>
        </w:rPr>
        <w:t>Ley 19/2010, de 7 de junio, de regulación del Impuesto sobre Sucesiones y Donaciones.</w:t>
      </w:r>
    </w:p>
    <w:p w:rsidR="00061CE0" w:rsidRPr="00061CE0" w:rsidRDefault="00061CE0" w:rsidP="00061CE0">
      <w:pPr>
        <w:pStyle w:val="Default"/>
        <w:tabs>
          <w:tab w:val="left" w:pos="567"/>
        </w:tabs>
        <w:spacing w:line="360" w:lineRule="auto"/>
        <w:ind w:left="578"/>
        <w:jc w:val="both"/>
        <w:rPr>
          <w:rFonts w:ascii="Century" w:hAnsi="Century"/>
          <w:sz w:val="12"/>
          <w:szCs w:val="12"/>
        </w:rPr>
      </w:pPr>
    </w:p>
    <w:p w:rsidR="00994D4C" w:rsidRPr="00253247" w:rsidRDefault="00994D4C" w:rsidP="003E7B6C">
      <w:pPr>
        <w:pStyle w:val="Prrafodelista"/>
        <w:numPr>
          <w:ilvl w:val="0"/>
          <w:numId w:val="22"/>
        </w:numPr>
        <w:tabs>
          <w:tab w:val="left" w:pos="567"/>
        </w:tabs>
        <w:spacing w:after="240" w:line="360" w:lineRule="auto"/>
        <w:ind w:left="284" w:firstLine="0"/>
        <w:jc w:val="both"/>
        <w:rPr>
          <w:rFonts w:ascii="Century" w:eastAsia="Times New Roman" w:hAnsi="Century" w:cs="Times New Roman"/>
          <w:b/>
          <w:bCs/>
          <w:sz w:val="24"/>
          <w:szCs w:val="24"/>
        </w:rPr>
      </w:pPr>
      <w:r w:rsidRPr="00253247">
        <w:rPr>
          <w:rFonts w:ascii="Century" w:eastAsia="Times New Roman" w:hAnsi="Century" w:cs="Times New Roman"/>
          <w:b/>
          <w:bCs/>
          <w:sz w:val="24"/>
          <w:szCs w:val="24"/>
        </w:rPr>
        <w:t>Extremadura</w:t>
      </w:r>
      <w:r w:rsidRPr="00253247">
        <w:rPr>
          <w:rFonts w:eastAsia="Times New Roman" w:cstheme="minorHAnsi"/>
          <w:b/>
          <w:bCs/>
          <w:sz w:val="24"/>
          <w:szCs w:val="24"/>
        </w:rPr>
        <w:t>:</w:t>
      </w:r>
      <w:r w:rsidRPr="00253247">
        <w:rPr>
          <w:rFonts w:ascii="Century" w:eastAsia="Times New Roman" w:hAnsi="Century" w:cs="Times New Roman"/>
          <w:b/>
          <w:bCs/>
          <w:sz w:val="24"/>
          <w:szCs w:val="24"/>
        </w:rPr>
        <w:t xml:space="preserve"> </w:t>
      </w:r>
    </w:p>
    <w:p w:rsidR="00994D4C" w:rsidRDefault="00994D4C" w:rsidP="002D075E">
      <w:pPr>
        <w:pStyle w:val="Prrafodelista"/>
        <w:numPr>
          <w:ilvl w:val="0"/>
          <w:numId w:val="20"/>
        </w:numPr>
        <w:tabs>
          <w:tab w:val="left" w:pos="851"/>
        </w:tabs>
        <w:spacing w:after="0" w:line="360" w:lineRule="auto"/>
        <w:ind w:firstLine="0"/>
        <w:jc w:val="both"/>
        <w:rPr>
          <w:rFonts w:ascii="Century" w:eastAsia="Times New Roman" w:hAnsi="Century" w:cs="Times New Roman"/>
          <w:bCs/>
          <w:sz w:val="24"/>
          <w:szCs w:val="24"/>
        </w:rPr>
      </w:pPr>
      <w:r w:rsidRPr="00E87EF5">
        <w:rPr>
          <w:rFonts w:ascii="Century" w:eastAsia="Times New Roman" w:hAnsi="Century" w:cs="Times New Roman"/>
          <w:bCs/>
          <w:sz w:val="24"/>
          <w:szCs w:val="24"/>
        </w:rPr>
        <w:t>Decreto Legislativo 1/2013, de 21 de mayo, por el que se aprueba el texto refundido de las disposiciones legales de la Comunidad Autónoma de Extremadura en materia de tributos cedidos por el Estado.</w:t>
      </w:r>
    </w:p>
    <w:p w:rsidR="00994D4C" w:rsidRPr="00061CE0" w:rsidRDefault="00994D4C" w:rsidP="003E7B6C">
      <w:pPr>
        <w:pStyle w:val="Prrafodelista"/>
        <w:tabs>
          <w:tab w:val="left" w:pos="567"/>
        </w:tabs>
        <w:spacing w:after="240" w:line="360" w:lineRule="auto"/>
        <w:ind w:left="578"/>
        <w:jc w:val="both"/>
        <w:rPr>
          <w:rFonts w:ascii="Century" w:eastAsia="Times New Roman" w:hAnsi="Century" w:cs="Times New Roman"/>
          <w:bCs/>
          <w:sz w:val="12"/>
          <w:szCs w:val="12"/>
        </w:rPr>
      </w:pPr>
    </w:p>
    <w:p w:rsidR="00994D4C" w:rsidRPr="00253247" w:rsidRDefault="00994D4C" w:rsidP="00061CE0">
      <w:pPr>
        <w:pStyle w:val="Prrafodelista"/>
        <w:numPr>
          <w:ilvl w:val="0"/>
          <w:numId w:val="22"/>
        </w:numPr>
        <w:tabs>
          <w:tab w:val="left" w:pos="567"/>
        </w:tabs>
        <w:spacing w:after="0" w:line="360" w:lineRule="auto"/>
        <w:ind w:left="284" w:firstLine="0"/>
        <w:jc w:val="both"/>
        <w:rPr>
          <w:rFonts w:ascii="Century" w:eastAsia="Times New Roman" w:hAnsi="Century" w:cs="Times New Roman"/>
          <w:b/>
          <w:bCs/>
          <w:sz w:val="24"/>
          <w:szCs w:val="24"/>
        </w:rPr>
      </w:pPr>
      <w:r w:rsidRPr="00253247">
        <w:rPr>
          <w:rFonts w:ascii="Century" w:eastAsia="Times New Roman" w:hAnsi="Century" w:cs="Times New Roman"/>
          <w:b/>
          <w:bCs/>
          <w:sz w:val="24"/>
          <w:szCs w:val="24"/>
        </w:rPr>
        <w:t>Galicia</w:t>
      </w:r>
      <w:r w:rsidRPr="00253247">
        <w:rPr>
          <w:rFonts w:eastAsia="Times New Roman" w:cstheme="minorHAnsi"/>
          <w:b/>
          <w:bCs/>
          <w:sz w:val="24"/>
          <w:szCs w:val="24"/>
        </w:rPr>
        <w:t>:</w:t>
      </w:r>
      <w:r w:rsidRPr="00253247">
        <w:rPr>
          <w:rFonts w:ascii="Century" w:eastAsia="Times New Roman" w:hAnsi="Century" w:cs="Times New Roman"/>
          <w:b/>
          <w:bCs/>
          <w:sz w:val="24"/>
          <w:szCs w:val="24"/>
        </w:rPr>
        <w:t xml:space="preserve"> </w:t>
      </w:r>
    </w:p>
    <w:p w:rsidR="00994D4C" w:rsidRDefault="00994D4C" w:rsidP="002D075E">
      <w:pPr>
        <w:pStyle w:val="Prrafodelista"/>
        <w:numPr>
          <w:ilvl w:val="0"/>
          <w:numId w:val="20"/>
        </w:numPr>
        <w:tabs>
          <w:tab w:val="left" w:pos="851"/>
        </w:tabs>
        <w:spacing w:after="240" w:line="360" w:lineRule="auto"/>
        <w:ind w:firstLine="0"/>
        <w:jc w:val="both"/>
        <w:rPr>
          <w:rFonts w:ascii="Century" w:eastAsia="Times New Roman" w:hAnsi="Century" w:cs="Times New Roman"/>
          <w:bCs/>
          <w:sz w:val="24"/>
          <w:szCs w:val="24"/>
        </w:rPr>
      </w:pPr>
      <w:r w:rsidRPr="00E87EF5">
        <w:rPr>
          <w:rFonts w:ascii="Century" w:eastAsia="Times New Roman" w:hAnsi="Century" w:cs="Times New Roman"/>
          <w:bCs/>
          <w:sz w:val="24"/>
          <w:szCs w:val="24"/>
        </w:rPr>
        <w:t>Decreto Legislativo 1/2011, de 28 de julio, por el que se aprueba el texto refundido de las disposiciones legales de la Comunidad Autónoma de Galicia en materia de tributos cedidos por el Estado.</w:t>
      </w:r>
    </w:p>
    <w:p w:rsidR="00994D4C" w:rsidRPr="00061CE0" w:rsidRDefault="00994D4C" w:rsidP="003E7B6C">
      <w:pPr>
        <w:pStyle w:val="Prrafodelista"/>
        <w:tabs>
          <w:tab w:val="left" w:pos="567"/>
        </w:tabs>
        <w:spacing w:after="240" w:line="360" w:lineRule="auto"/>
        <w:ind w:left="578"/>
        <w:jc w:val="both"/>
        <w:rPr>
          <w:rFonts w:ascii="Century" w:eastAsia="Times New Roman" w:hAnsi="Century" w:cs="Times New Roman"/>
          <w:bCs/>
          <w:sz w:val="12"/>
          <w:szCs w:val="12"/>
        </w:rPr>
      </w:pPr>
    </w:p>
    <w:p w:rsidR="00994D4C" w:rsidRPr="00253247" w:rsidRDefault="00994D4C" w:rsidP="003E7B6C">
      <w:pPr>
        <w:pStyle w:val="Prrafodelista"/>
        <w:numPr>
          <w:ilvl w:val="0"/>
          <w:numId w:val="22"/>
        </w:numPr>
        <w:tabs>
          <w:tab w:val="left" w:pos="567"/>
        </w:tabs>
        <w:spacing w:after="240" w:line="360" w:lineRule="auto"/>
        <w:ind w:left="284" w:firstLine="0"/>
        <w:jc w:val="both"/>
        <w:rPr>
          <w:rFonts w:ascii="Century" w:eastAsia="Times New Roman" w:hAnsi="Century" w:cs="Times New Roman"/>
          <w:b/>
          <w:bCs/>
          <w:sz w:val="24"/>
          <w:szCs w:val="24"/>
        </w:rPr>
      </w:pPr>
      <w:r w:rsidRPr="00253247">
        <w:rPr>
          <w:rFonts w:ascii="Century" w:eastAsia="Times New Roman" w:hAnsi="Century" w:cs="Times New Roman"/>
          <w:b/>
          <w:bCs/>
          <w:sz w:val="24"/>
          <w:szCs w:val="24"/>
        </w:rPr>
        <w:t>La Rioja</w:t>
      </w:r>
      <w:r w:rsidRPr="00253247">
        <w:rPr>
          <w:rFonts w:eastAsia="Times New Roman" w:cstheme="minorHAnsi"/>
          <w:b/>
          <w:bCs/>
          <w:sz w:val="24"/>
          <w:szCs w:val="24"/>
        </w:rPr>
        <w:t>:</w:t>
      </w:r>
      <w:r w:rsidRPr="00253247">
        <w:rPr>
          <w:rFonts w:ascii="Century" w:eastAsia="Times New Roman" w:hAnsi="Century" w:cs="Times New Roman"/>
          <w:b/>
          <w:bCs/>
          <w:sz w:val="24"/>
          <w:szCs w:val="24"/>
        </w:rPr>
        <w:t xml:space="preserve"> </w:t>
      </w:r>
    </w:p>
    <w:p w:rsidR="00994D4C" w:rsidRDefault="00994D4C" w:rsidP="002D075E">
      <w:pPr>
        <w:pStyle w:val="Prrafodelista"/>
        <w:numPr>
          <w:ilvl w:val="0"/>
          <w:numId w:val="20"/>
        </w:numPr>
        <w:tabs>
          <w:tab w:val="left" w:pos="851"/>
        </w:tabs>
        <w:spacing w:after="240" w:line="360" w:lineRule="auto"/>
        <w:ind w:firstLine="0"/>
        <w:jc w:val="both"/>
        <w:rPr>
          <w:rFonts w:ascii="Century" w:eastAsia="Times New Roman" w:hAnsi="Century" w:cs="Times New Roman"/>
          <w:bCs/>
          <w:sz w:val="24"/>
          <w:szCs w:val="24"/>
        </w:rPr>
      </w:pPr>
      <w:r w:rsidRPr="00E87EF5">
        <w:rPr>
          <w:rFonts w:ascii="Century" w:eastAsia="Times New Roman" w:hAnsi="Century" w:cs="Times New Roman"/>
          <w:bCs/>
          <w:sz w:val="24"/>
          <w:szCs w:val="24"/>
        </w:rPr>
        <w:t>Proyecto de Ley de Medidas Fiscales y Administrativas proyecto para el año 2017.</w:t>
      </w:r>
    </w:p>
    <w:p w:rsidR="00994D4C" w:rsidRPr="00061CE0" w:rsidRDefault="00994D4C" w:rsidP="003E7B6C">
      <w:pPr>
        <w:pStyle w:val="Prrafodelista"/>
        <w:tabs>
          <w:tab w:val="left" w:pos="567"/>
        </w:tabs>
        <w:spacing w:after="240" w:line="360" w:lineRule="auto"/>
        <w:ind w:left="578"/>
        <w:jc w:val="both"/>
        <w:rPr>
          <w:rFonts w:ascii="Century" w:eastAsia="Times New Roman" w:hAnsi="Century" w:cs="Times New Roman"/>
          <w:bCs/>
          <w:sz w:val="12"/>
          <w:szCs w:val="12"/>
        </w:rPr>
      </w:pPr>
    </w:p>
    <w:p w:rsidR="00994D4C" w:rsidRPr="00253247" w:rsidRDefault="00994D4C" w:rsidP="003E7B6C">
      <w:pPr>
        <w:pStyle w:val="Prrafodelista"/>
        <w:numPr>
          <w:ilvl w:val="0"/>
          <w:numId w:val="22"/>
        </w:numPr>
        <w:tabs>
          <w:tab w:val="left" w:pos="567"/>
        </w:tabs>
        <w:spacing w:after="240" w:line="360" w:lineRule="auto"/>
        <w:ind w:left="284" w:firstLine="0"/>
        <w:jc w:val="both"/>
        <w:rPr>
          <w:rFonts w:ascii="Century" w:eastAsia="Times New Roman" w:hAnsi="Century" w:cs="Times New Roman"/>
          <w:b/>
          <w:bCs/>
          <w:sz w:val="24"/>
          <w:szCs w:val="24"/>
        </w:rPr>
      </w:pPr>
      <w:r w:rsidRPr="00253247">
        <w:rPr>
          <w:rFonts w:ascii="Century" w:eastAsia="Times New Roman" w:hAnsi="Century" w:cs="Times New Roman"/>
          <w:b/>
          <w:bCs/>
          <w:sz w:val="24"/>
          <w:szCs w:val="24"/>
        </w:rPr>
        <w:t>Madrid</w:t>
      </w:r>
      <w:r w:rsidRPr="00253247">
        <w:rPr>
          <w:rFonts w:eastAsia="Times New Roman" w:cstheme="minorHAnsi"/>
          <w:b/>
          <w:bCs/>
          <w:sz w:val="24"/>
          <w:szCs w:val="24"/>
        </w:rPr>
        <w:t>:</w:t>
      </w:r>
      <w:r w:rsidRPr="00253247">
        <w:rPr>
          <w:rFonts w:ascii="Century" w:eastAsia="Times New Roman" w:hAnsi="Century" w:cs="Times New Roman"/>
          <w:b/>
          <w:bCs/>
          <w:sz w:val="24"/>
          <w:szCs w:val="24"/>
        </w:rPr>
        <w:t xml:space="preserve"> </w:t>
      </w:r>
    </w:p>
    <w:p w:rsidR="00994D4C" w:rsidRPr="004E2513" w:rsidRDefault="00994D4C" w:rsidP="002D075E">
      <w:pPr>
        <w:pStyle w:val="Prrafodelista"/>
        <w:numPr>
          <w:ilvl w:val="0"/>
          <w:numId w:val="20"/>
        </w:numPr>
        <w:tabs>
          <w:tab w:val="left" w:pos="851"/>
        </w:tabs>
        <w:spacing w:after="240" w:line="360" w:lineRule="auto"/>
        <w:ind w:firstLine="0"/>
        <w:jc w:val="both"/>
        <w:rPr>
          <w:rFonts w:ascii="Century" w:eastAsia="Times New Roman" w:hAnsi="Century" w:cs="Times New Roman"/>
          <w:bCs/>
          <w:sz w:val="24"/>
          <w:szCs w:val="24"/>
        </w:rPr>
      </w:pPr>
      <w:r w:rsidRPr="00E87EF5">
        <w:rPr>
          <w:rFonts w:ascii="Century" w:eastAsia="Times New Roman" w:hAnsi="Century" w:cs="Times New Roman"/>
          <w:bCs/>
          <w:sz w:val="24"/>
          <w:szCs w:val="24"/>
        </w:rPr>
        <w:t>Decreto Legislativo 1/2010, de 21 de octubre, del Consejo de Gobierno, por el que se aprueba el Texto Refundido de las Disposiciones Legales de la Comunidad de Madrid en materia de tributos cedidos por el Estado.</w:t>
      </w:r>
    </w:p>
    <w:p w:rsidR="00994D4C" w:rsidRDefault="00994D4C" w:rsidP="003E7B6C">
      <w:pPr>
        <w:pStyle w:val="Prrafodelista"/>
        <w:tabs>
          <w:tab w:val="left" w:pos="567"/>
        </w:tabs>
        <w:spacing w:after="240" w:line="360" w:lineRule="auto"/>
        <w:ind w:left="578"/>
        <w:jc w:val="both"/>
        <w:rPr>
          <w:rFonts w:ascii="Century" w:eastAsia="Times New Roman" w:hAnsi="Century" w:cs="Times New Roman"/>
          <w:bCs/>
          <w:sz w:val="14"/>
          <w:szCs w:val="14"/>
        </w:rPr>
      </w:pPr>
    </w:p>
    <w:p w:rsidR="00061CE0" w:rsidRDefault="00061CE0" w:rsidP="003E7B6C">
      <w:pPr>
        <w:pStyle w:val="Prrafodelista"/>
        <w:tabs>
          <w:tab w:val="left" w:pos="567"/>
        </w:tabs>
        <w:spacing w:after="240" w:line="360" w:lineRule="auto"/>
        <w:ind w:left="578"/>
        <w:jc w:val="both"/>
        <w:rPr>
          <w:rFonts w:ascii="Century" w:eastAsia="Times New Roman" w:hAnsi="Century" w:cs="Times New Roman"/>
          <w:bCs/>
          <w:sz w:val="14"/>
          <w:szCs w:val="14"/>
        </w:rPr>
      </w:pPr>
    </w:p>
    <w:p w:rsidR="00061CE0" w:rsidRDefault="00061CE0" w:rsidP="003E7B6C">
      <w:pPr>
        <w:pStyle w:val="Prrafodelista"/>
        <w:tabs>
          <w:tab w:val="left" w:pos="567"/>
        </w:tabs>
        <w:spacing w:after="240" w:line="360" w:lineRule="auto"/>
        <w:ind w:left="578"/>
        <w:jc w:val="both"/>
        <w:rPr>
          <w:rFonts w:ascii="Century" w:eastAsia="Times New Roman" w:hAnsi="Century" w:cs="Times New Roman"/>
          <w:bCs/>
          <w:sz w:val="14"/>
          <w:szCs w:val="14"/>
        </w:rPr>
      </w:pPr>
    </w:p>
    <w:p w:rsidR="00061CE0" w:rsidRPr="002F4491" w:rsidRDefault="00061CE0" w:rsidP="003E7B6C">
      <w:pPr>
        <w:pStyle w:val="Prrafodelista"/>
        <w:tabs>
          <w:tab w:val="left" w:pos="567"/>
        </w:tabs>
        <w:spacing w:after="240" w:line="360" w:lineRule="auto"/>
        <w:ind w:left="578"/>
        <w:jc w:val="both"/>
        <w:rPr>
          <w:rFonts w:ascii="Century" w:eastAsia="Times New Roman" w:hAnsi="Century" w:cs="Times New Roman"/>
          <w:bCs/>
          <w:sz w:val="14"/>
          <w:szCs w:val="14"/>
        </w:rPr>
      </w:pPr>
    </w:p>
    <w:p w:rsidR="00994D4C" w:rsidRPr="00253247" w:rsidRDefault="00994D4C" w:rsidP="003E7B6C">
      <w:pPr>
        <w:pStyle w:val="Prrafodelista"/>
        <w:numPr>
          <w:ilvl w:val="0"/>
          <w:numId w:val="22"/>
        </w:numPr>
        <w:tabs>
          <w:tab w:val="left" w:pos="567"/>
        </w:tabs>
        <w:spacing w:after="240" w:line="360" w:lineRule="auto"/>
        <w:ind w:left="284" w:firstLine="0"/>
        <w:jc w:val="both"/>
        <w:rPr>
          <w:rFonts w:ascii="Century" w:eastAsia="Times New Roman" w:hAnsi="Century" w:cs="Times New Roman"/>
          <w:b/>
          <w:bCs/>
          <w:sz w:val="24"/>
          <w:szCs w:val="24"/>
        </w:rPr>
      </w:pPr>
      <w:r w:rsidRPr="00253247">
        <w:rPr>
          <w:rFonts w:ascii="Century" w:eastAsia="Times New Roman" w:hAnsi="Century" w:cs="Times New Roman"/>
          <w:b/>
          <w:bCs/>
          <w:sz w:val="24"/>
          <w:szCs w:val="24"/>
        </w:rPr>
        <w:lastRenderedPageBreak/>
        <w:t>Murcia</w:t>
      </w:r>
      <w:r w:rsidRPr="00253247">
        <w:rPr>
          <w:rFonts w:eastAsia="Times New Roman" w:cstheme="minorHAnsi"/>
          <w:b/>
          <w:bCs/>
          <w:sz w:val="24"/>
          <w:szCs w:val="24"/>
        </w:rPr>
        <w:t>:</w:t>
      </w:r>
      <w:r w:rsidRPr="00253247">
        <w:rPr>
          <w:rFonts w:ascii="Century" w:eastAsia="Times New Roman" w:hAnsi="Century" w:cs="Times New Roman"/>
          <w:b/>
          <w:bCs/>
          <w:sz w:val="24"/>
          <w:szCs w:val="24"/>
        </w:rPr>
        <w:t xml:space="preserve"> </w:t>
      </w:r>
    </w:p>
    <w:p w:rsidR="00994D4C" w:rsidRDefault="00994D4C" w:rsidP="002D075E">
      <w:pPr>
        <w:pStyle w:val="Prrafodelista"/>
        <w:numPr>
          <w:ilvl w:val="0"/>
          <w:numId w:val="20"/>
        </w:numPr>
        <w:tabs>
          <w:tab w:val="left" w:pos="851"/>
        </w:tabs>
        <w:spacing w:after="240" w:line="360" w:lineRule="auto"/>
        <w:ind w:firstLine="0"/>
        <w:jc w:val="both"/>
        <w:rPr>
          <w:rFonts w:ascii="Century" w:eastAsia="Times New Roman" w:hAnsi="Century" w:cs="Times New Roman"/>
          <w:bCs/>
          <w:sz w:val="24"/>
          <w:szCs w:val="24"/>
        </w:rPr>
      </w:pPr>
      <w:r w:rsidRPr="00E87EF5">
        <w:rPr>
          <w:rFonts w:ascii="Century" w:eastAsia="Times New Roman" w:hAnsi="Century" w:cs="Times New Roman"/>
          <w:bCs/>
          <w:sz w:val="24"/>
          <w:szCs w:val="24"/>
        </w:rPr>
        <w:t>Decreto Legislativo 1/2010, de 5 de noviembre, por el que se aprueba el Texto Refundido de las Disposiciones Legales vigentes en la Región de Murcia en materia de Tributos Cedidos.</w:t>
      </w:r>
    </w:p>
    <w:p w:rsidR="00994D4C" w:rsidRPr="002D075E" w:rsidRDefault="00994D4C" w:rsidP="003E7B6C">
      <w:pPr>
        <w:pStyle w:val="Prrafodelista"/>
        <w:tabs>
          <w:tab w:val="left" w:pos="567"/>
        </w:tabs>
        <w:spacing w:after="240" w:line="360" w:lineRule="auto"/>
        <w:ind w:left="578"/>
        <w:jc w:val="both"/>
        <w:rPr>
          <w:rFonts w:ascii="Century" w:eastAsia="Times New Roman" w:hAnsi="Century" w:cs="Times New Roman"/>
          <w:bCs/>
          <w:sz w:val="12"/>
          <w:szCs w:val="12"/>
        </w:rPr>
      </w:pPr>
    </w:p>
    <w:p w:rsidR="00994D4C" w:rsidRPr="00253247" w:rsidRDefault="00994D4C" w:rsidP="003E7B6C">
      <w:pPr>
        <w:pStyle w:val="Prrafodelista"/>
        <w:numPr>
          <w:ilvl w:val="0"/>
          <w:numId w:val="22"/>
        </w:numPr>
        <w:tabs>
          <w:tab w:val="left" w:pos="567"/>
        </w:tabs>
        <w:spacing w:after="240" w:line="360" w:lineRule="auto"/>
        <w:ind w:left="284" w:firstLine="0"/>
        <w:jc w:val="both"/>
        <w:rPr>
          <w:rFonts w:ascii="Century" w:eastAsia="Times New Roman" w:hAnsi="Century" w:cs="Times New Roman"/>
          <w:b/>
          <w:bCs/>
          <w:sz w:val="24"/>
          <w:szCs w:val="24"/>
        </w:rPr>
      </w:pPr>
      <w:r w:rsidRPr="00253247">
        <w:rPr>
          <w:rFonts w:ascii="Century" w:eastAsia="Times New Roman" w:hAnsi="Century" w:cs="Times New Roman"/>
          <w:b/>
          <w:bCs/>
          <w:sz w:val="24"/>
          <w:szCs w:val="24"/>
        </w:rPr>
        <w:t>Valencia</w:t>
      </w:r>
      <w:r w:rsidRPr="00253247">
        <w:rPr>
          <w:rFonts w:eastAsia="Times New Roman" w:cstheme="minorHAnsi"/>
          <w:b/>
          <w:bCs/>
          <w:sz w:val="24"/>
          <w:szCs w:val="24"/>
        </w:rPr>
        <w:t>:</w:t>
      </w:r>
      <w:r w:rsidRPr="00253247">
        <w:rPr>
          <w:rFonts w:ascii="Century" w:eastAsia="Times New Roman" w:hAnsi="Century" w:cs="Times New Roman"/>
          <w:b/>
          <w:bCs/>
          <w:sz w:val="24"/>
          <w:szCs w:val="24"/>
        </w:rPr>
        <w:t xml:space="preserve"> </w:t>
      </w:r>
    </w:p>
    <w:p w:rsidR="00994D4C" w:rsidRDefault="00994D4C" w:rsidP="002D075E">
      <w:pPr>
        <w:pStyle w:val="Prrafodelista"/>
        <w:numPr>
          <w:ilvl w:val="0"/>
          <w:numId w:val="20"/>
        </w:numPr>
        <w:tabs>
          <w:tab w:val="left" w:pos="851"/>
        </w:tabs>
        <w:spacing w:after="240" w:line="360" w:lineRule="auto"/>
        <w:ind w:firstLine="0"/>
        <w:jc w:val="both"/>
        <w:rPr>
          <w:rFonts w:ascii="Century" w:eastAsia="Times New Roman" w:hAnsi="Century" w:cs="Times New Roman"/>
          <w:bCs/>
          <w:sz w:val="24"/>
          <w:szCs w:val="24"/>
        </w:rPr>
      </w:pPr>
      <w:r w:rsidRPr="00E87EF5">
        <w:rPr>
          <w:rFonts w:ascii="Century" w:eastAsia="Times New Roman" w:hAnsi="Century" w:cs="Times New Roman"/>
          <w:bCs/>
          <w:sz w:val="24"/>
          <w:szCs w:val="24"/>
        </w:rPr>
        <w:t>Ley 13/1997, de 23 de diciembre, por la que se regula el tramo autonómico del Impuesto sobre la Renta de las Personas Físicas y restantes tributos cedidos.</w:t>
      </w:r>
    </w:p>
    <w:p w:rsidR="00994D4C" w:rsidRPr="002D075E" w:rsidRDefault="00994D4C" w:rsidP="003E7B6C">
      <w:pPr>
        <w:pStyle w:val="Prrafodelista"/>
        <w:tabs>
          <w:tab w:val="left" w:pos="567"/>
        </w:tabs>
        <w:spacing w:after="240" w:line="360" w:lineRule="auto"/>
        <w:ind w:left="578"/>
        <w:jc w:val="both"/>
        <w:rPr>
          <w:rFonts w:ascii="Century" w:eastAsia="Times New Roman" w:hAnsi="Century" w:cs="Times New Roman"/>
          <w:bCs/>
          <w:sz w:val="12"/>
          <w:szCs w:val="12"/>
        </w:rPr>
      </w:pPr>
    </w:p>
    <w:p w:rsidR="00994D4C" w:rsidRPr="00253247" w:rsidRDefault="00994D4C" w:rsidP="003E7B6C">
      <w:pPr>
        <w:pStyle w:val="Prrafodelista"/>
        <w:numPr>
          <w:ilvl w:val="0"/>
          <w:numId w:val="22"/>
        </w:numPr>
        <w:tabs>
          <w:tab w:val="left" w:pos="567"/>
        </w:tabs>
        <w:autoSpaceDE w:val="0"/>
        <w:autoSpaceDN w:val="0"/>
        <w:adjustRightInd w:val="0"/>
        <w:spacing w:after="240" w:line="360" w:lineRule="auto"/>
        <w:ind w:left="284" w:firstLine="0"/>
        <w:jc w:val="both"/>
        <w:rPr>
          <w:rFonts w:ascii="Century" w:eastAsia="Times New Roman" w:hAnsi="Century" w:cs="Times New Roman"/>
          <w:b/>
          <w:bCs/>
          <w:sz w:val="24"/>
          <w:szCs w:val="24"/>
        </w:rPr>
      </w:pPr>
      <w:r w:rsidRPr="00253247">
        <w:rPr>
          <w:rFonts w:ascii="Century" w:eastAsia="Times New Roman" w:hAnsi="Century" w:cs="Times New Roman"/>
          <w:b/>
          <w:bCs/>
          <w:sz w:val="24"/>
          <w:szCs w:val="24"/>
        </w:rPr>
        <w:t>Navarra</w:t>
      </w:r>
      <w:r w:rsidRPr="00253247">
        <w:rPr>
          <w:rFonts w:eastAsia="Times New Roman" w:cstheme="minorHAnsi"/>
          <w:b/>
          <w:bCs/>
          <w:sz w:val="24"/>
          <w:szCs w:val="24"/>
        </w:rPr>
        <w:t>:</w:t>
      </w:r>
      <w:r w:rsidRPr="00253247">
        <w:rPr>
          <w:rFonts w:ascii="Century" w:eastAsia="Times New Roman" w:hAnsi="Century" w:cs="Times New Roman"/>
          <w:b/>
          <w:bCs/>
          <w:sz w:val="24"/>
          <w:szCs w:val="24"/>
        </w:rPr>
        <w:t xml:space="preserve"> </w:t>
      </w:r>
    </w:p>
    <w:p w:rsidR="00994D4C" w:rsidRDefault="00994D4C" w:rsidP="002D075E">
      <w:pPr>
        <w:pStyle w:val="Prrafodelista"/>
        <w:numPr>
          <w:ilvl w:val="0"/>
          <w:numId w:val="20"/>
        </w:numPr>
        <w:tabs>
          <w:tab w:val="left" w:pos="851"/>
        </w:tabs>
        <w:autoSpaceDE w:val="0"/>
        <w:autoSpaceDN w:val="0"/>
        <w:adjustRightInd w:val="0"/>
        <w:spacing w:after="240" w:line="360" w:lineRule="auto"/>
        <w:ind w:firstLine="0"/>
        <w:jc w:val="both"/>
        <w:rPr>
          <w:rFonts w:ascii="Century" w:eastAsia="Times New Roman" w:hAnsi="Century" w:cs="Times New Roman"/>
          <w:bCs/>
          <w:sz w:val="24"/>
          <w:szCs w:val="24"/>
        </w:rPr>
      </w:pPr>
      <w:r w:rsidRPr="00E87EF5">
        <w:rPr>
          <w:rFonts w:ascii="Century" w:eastAsia="Times New Roman" w:hAnsi="Century" w:cs="Times New Roman"/>
          <w:bCs/>
          <w:sz w:val="24"/>
          <w:szCs w:val="24"/>
        </w:rPr>
        <w:t>Decreto Foral Legislativo 250/2002, de 16 de diciembre, por el que se aprueba el Texto Refundido de las disposiciones del Impuesto sobre Sucesiones y Donaciones.</w:t>
      </w:r>
    </w:p>
    <w:p w:rsidR="00994D4C" w:rsidRPr="002D075E" w:rsidRDefault="00994D4C" w:rsidP="003E7B6C">
      <w:pPr>
        <w:pStyle w:val="Prrafodelista"/>
        <w:tabs>
          <w:tab w:val="left" w:pos="567"/>
        </w:tabs>
        <w:autoSpaceDE w:val="0"/>
        <w:autoSpaceDN w:val="0"/>
        <w:adjustRightInd w:val="0"/>
        <w:spacing w:after="240" w:line="360" w:lineRule="auto"/>
        <w:ind w:left="578"/>
        <w:jc w:val="both"/>
        <w:rPr>
          <w:rFonts w:ascii="Century" w:eastAsia="Times New Roman" w:hAnsi="Century" w:cs="Times New Roman"/>
          <w:bCs/>
          <w:sz w:val="12"/>
          <w:szCs w:val="12"/>
        </w:rPr>
      </w:pPr>
    </w:p>
    <w:p w:rsidR="00994D4C" w:rsidRPr="00AB4FF8" w:rsidRDefault="00994D4C" w:rsidP="003E7B6C">
      <w:pPr>
        <w:pStyle w:val="Prrafodelista"/>
        <w:numPr>
          <w:ilvl w:val="0"/>
          <w:numId w:val="22"/>
        </w:numPr>
        <w:tabs>
          <w:tab w:val="left" w:pos="567"/>
        </w:tabs>
        <w:spacing w:after="240" w:line="360" w:lineRule="auto"/>
        <w:ind w:left="284" w:firstLine="0"/>
        <w:jc w:val="both"/>
        <w:rPr>
          <w:rFonts w:ascii="Century" w:eastAsia="Times New Roman" w:hAnsi="Century" w:cs="Times New Roman"/>
          <w:b/>
          <w:bCs/>
          <w:sz w:val="24"/>
          <w:szCs w:val="24"/>
        </w:rPr>
      </w:pPr>
      <w:r w:rsidRPr="00253247">
        <w:rPr>
          <w:rFonts w:ascii="Century" w:eastAsia="Times New Roman" w:hAnsi="Century" w:cs="Times New Roman"/>
          <w:b/>
          <w:bCs/>
          <w:sz w:val="24"/>
          <w:szCs w:val="24"/>
        </w:rPr>
        <w:t>País Vasco</w:t>
      </w:r>
      <w:r w:rsidRPr="00253247">
        <w:rPr>
          <w:rFonts w:eastAsia="Times New Roman" w:cstheme="minorHAnsi"/>
          <w:b/>
          <w:bCs/>
          <w:sz w:val="24"/>
          <w:szCs w:val="24"/>
        </w:rPr>
        <w:t>:</w:t>
      </w:r>
    </w:p>
    <w:p w:rsidR="00994D4C" w:rsidRPr="00AB4FF8" w:rsidRDefault="00994D4C" w:rsidP="003E7B6C">
      <w:pPr>
        <w:pStyle w:val="Prrafodelista"/>
        <w:tabs>
          <w:tab w:val="left" w:pos="567"/>
        </w:tabs>
        <w:spacing w:after="240" w:line="360" w:lineRule="auto"/>
        <w:ind w:left="284"/>
        <w:jc w:val="both"/>
        <w:rPr>
          <w:rFonts w:ascii="Century" w:eastAsia="Times New Roman" w:hAnsi="Century" w:cs="Times New Roman"/>
          <w:b/>
          <w:bCs/>
          <w:sz w:val="12"/>
          <w:szCs w:val="12"/>
        </w:rPr>
      </w:pPr>
    </w:p>
    <w:p w:rsidR="00CA182E" w:rsidRPr="002D075E" w:rsidRDefault="00994D4C" w:rsidP="003E7B6C">
      <w:pPr>
        <w:pStyle w:val="Prrafodelista"/>
        <w:numPr>
          <w:ilvl w:val="0"/>
          <w:numId w:val="22"/>
        </w:numPr>
        <w:tabs>
          <w:tab w:val="left" w:pos="567"/>
        </w:tabs>
        <w:spacing w:after="240" w:line="360" w:lineRule="auto"/>
        <w:ind w:left="567" w:firstLine="0"/>
        <w:jc w:val="both"/>
        <w:rPr>
          <w:rFonts w:ascii="Century" w:eastAsia="Times New Roman" w:hAnsi="Century" w:cs="Times New Roman"/>
          <w:b/>
          <w:bCs/>
          <w:sz w:val="24"/>
          <w:szCs w:val="24"/>
        </w:rPr>
      </w:pPr>
      <w:r w:rsidRPr="00253247">
        <w:rPr>
          <w:rFonts w:ascii="Century" w:eastAsia="Times New Roman" w:hAnsi="Century" w:cs="Times New Roman"/>
          <w:b/>
          <w:bCs/>
          <w:sz w:val="24"/>
          <w:szCs w:val="24"/>
        </w:rPr>
        <w:t>Álava</w:t>
      </w:r>
      <w:r w:rsidRPr="00253247">
        <w:rPr>
          <w:rFonts w:eastAsia="Times New Roman" w:cstheme="minorHAnsi"/>
          <w:b/>
          <w:bCs/>
          <w:sz w:val="24"/>
          <w:szCs w:val="24"/>
        </w:rPr>
        <w:t>:</w:t>
      </w:r>
      <w:r w:rsidRPr="00253247">
        <w:rPr>
          <w:rFonts w:ascii="Century" w:eastAsia="Times New Roman" w:hAnsi="Century" w:cs="Times New Roman"/>
          <w:b/>
          <w:bCs/>
          <w:sz w:val="24"/>
          <w:szCs w:val="24"/>
        </w:rPr>
        <w:t xml:space="preserve"> </w:t>
      </w:r>
    </w:p>
    <w:p w:rsidR="002D075E" w:rsidRPr="002D075E" w:rsidRDefault="00CA182E" w:rsidP="002D075E">
      <w:pPr>
        <w:pStyle w:val="Prrafodelista"/>
        <w:numPr>
          <w:ilvl w:val="0"/>
          <w:numId w:val="11"/>
        </w:numPr>
        <w:tabs>
          <w:tab w:val="left" w:pos="1134"/>
        </w:tabs>
        <w:spacing w:before="240" w:after="240" w:line="360" w:lineRule="auto"/>
        <w:ind w:firstLine="0"/>
        <w:jc w:val="both"/>
        <w:rPr>
          <w:rFonts w:ascii="Century" w:eastAsia="Times New Roman" w:hAnsi="Century" w:cs="Times New Roman"/>
          <w:bCs/>
          <w:sz w:val="24"/>
          <w:szCs w:val="24"/>
          <w:lang w:val="es-ES_tradnl"/>
        </w:rPr>
      </w:pPr>
      <w:r w:rsidRPr="002C13F3">
        <w:rPr>
          <w:rFonts w:ascii="Century" w:eastAsia="Times New Roman" w:hAnsi="Century" w:cs="Times New Roman"/>
          <w:bCs/>
          <w:sz w:val="24"/>
          <w:szCs w:val="24"/>
        </w:rPr>
        <w:t>Norma Foral 11/2005, de 16 de mayo, del Impuesto sobre Sucesiones y Donaciones.</w:t>
      </w:r>
    </w:p>
    <w:p w:rsidR="002D075E" w:rsidRPr="002D075E" w:rsidRDefault="002D075E" w:rsidP="002D075E">
      <w:pPr>
        <w:pStyle w:val="Prrafodelista"/>
        <w:tabs>
          <w:tab w:val="left" w:pos="1134"/>
        </w:tabs>
        <w:spacing w:before="240" w:after="240" w:line="360" w:lineRule="auto"/>
        <w:ind w:left="862"/>
        <w:jc w:val="both"/>
        <w:rPr>
          <w:rFonts w:ascii="Century" w:eastAsia="Times New Roman" w:hAnsi="Century" w:cs="Times New Roman"/>
          <w:bCs/>
          <w:sz w:val="12"/>
          <w:szCs w:val="12"/>
          <w:lang w:val="es-ES_tradnl"/>
        </w:rPr>
      </w:pPr>
    </w:p>
    <w:p w:rsidR="00994D4C" w:rsidRPr="002853A4" w:rsidRDefault="00994D4C" w:rsidP="002D075E">
      <w:pPr>
        <w:pStyle w:val="Prrafodelista"/>
        <w:numPr>
          <w:ilvl w:val="0"/>
          <w:numId w:val="11"/>
        </w:numPr>
        <w:tabs>
          <w:tab w:val="left" w:pos="1134"/>
        </w:tabs>
        <w:spacing w:before="240" w:after="240" w:line="360" w:lineRule="auto"/>
        <w:ind w:firstLine="0"/>
        <w:jc w:val="both"/>
        <w:rPr>
          <w:rFonts w:ascii="Century" w:eastAsia="Times New Roman" w:hAnsi="Century" w:cs="Times New Roman"/>
          <w:bCs/>
          <w:sz w:val="24"/>
          <w:szCs w:val="24"/>
        </w:rPr>
      </w:pPr>
      <w:r w:rsidRPr="002C13F3">
        <w:rPr>
          <w:rFonts w:ascii="Century" w:eastAsia="Times New Roman" w:hAnsi="Century" w:cs="Times New Roman"/>
          <w:bCs/>
          <w:sz w:val="24"/>
          <w:szCs w:val="24"/>
        </w:rPr>
        <w:t>Norma Foral 22/2015, de 29 de diciembre, de modificación de la normativa reguladora de determinados impuestos</w:t>
      </w:r>
      <w:r w:rsidRPr="00514069">
        <w:rPr>
          <w:rFonts w:eastAsia="Times New Roman" w:cstheme="minorHAnsi"/>
          <w:bCs/>
          <w:sz w:val="24"/>
          <w:szCs w:val="24"/>
        </w:rPr>
        <w:t>:</w:t>
      </w:r>
      <w:r w:rsidRPr="002C13F3">
        <w:rPr>
          <w:rFonts w:ascii="Century" w:eastAsia="Times New Roman" w:hAnsi="Century" w:cs="Times New Roman"/>
          <w:bCs/>
          <w:sz w:val="24"/>
          <w:szCs w:val="24"/>
        </w:rPr>
        <w:t xml:space="preserve"> Modificación de la Norma Foral 11/2005, de 16 de mayo, del Impuesto sobre Sucesiones y Donaciones.</w:t>
      </w:r>
    </w:p>
    <w:p w:rsidR="00994D4C" w:rsidRPr="002853A4" w:rsidRDefault="00994D4C" w:rsidP="003E7B6C">
      <w:pPr>
        <w:pStyle w:val="Prrafodelista"/>
        <w:tabs>
          <w:tab w:val="left" w:pos="567"/>
        </w:tabs>
        <w:spacing w:after="240" w:line="360" w:lineRule="auto"/>
        <w:ind w:left="862"/>
        <w:jc w:val="both"/>
        <w:rPr>
          <w:rFonts w:ascii="Century" w:eastAsia="Times New Roman" w:hAnsi="Century" w:cs="Times New Roman"/>
          <w:bCs/>
          <w:sz w:val="14"/>
          <w:szCs w:val="14"/>
          <w:lang w:val="es-ES_tradnl"/>
        </w:rPr>
      </w:pPr>
    </w:p>
    <w:p w:rsidR="00994D4C" w:rsidRDefault="00994D4C" w:rsidP="003E7B6C">
      <w:pPr>
        <w:pStyle w:val="Prrafodelista"/>
        <w:numPr>
          <w:ilvl w:val="0"/>
          <w:numId w:val="22"/>
        </w:numPr>
        <w:tabs>
          <w:tab w:val="left" w:pos="567"/>
        </w:tabs>
        <w:spacing w:after="240" w:line="360" w:lineRule="auto"/>
        <w:ind w:left="284" w:firstLine="0"/>
        <w:jc w:val="both"/>
        <w:rPr>
          <w:rFonts w:ascii="Century" w:eastAsia="Times New Roman" w:hAnsi="Century" w:cs="Times New Roman"/>
          <w:b/>
          <w:bCs/>
          <w:sz w:val="24"/>
          <w:szCs w:val="24"/>
        </w:rPr>
      </w:pPr>
      <w:r w:rsidRPr="00253247">
        <w:rPr>
          <w:rFonts w:ascii="Century" w:eastAsia="Times New Roman" w:hAnsi="Century" w:cs="Times New Roman"/>
          <w:b/>
          <w:bCs/>
          <w:sz w:val="24"/>
          <w:szCs w:val="24"/>
        </w:rPr>
        <w:t>Guipúzcoa</w:t>
      </w:r>
      <w:r w:rsidRPr="00253247">
        <w:rPr>
          <w:rFonts w:eastAsia="Times New Roman" w:cstheme="minorHAnsi"/>
          <w:b/>
          <w:bCs/>
          <w:sz w:val="24"/>
          <w:szCs w:val="24"/>
        </w:rPr>
        <w:t>:</w:t>
      </w:r>
      <w:r w:rsidRPr="00253247">
        <w:rPr>
          <w:rFonts w:ascii="Century" w:eastAsia="Times New Roman" w:hAnsi="Century" w:cs="Times New Roman"/>
          <w:b/>
          <w:bCs/>
          <w:sz w:val="24"/>
          <w:szCs w:val="24"/>
        </w:rPr>
        <w:t xml:space="preserve"> </w:t>
      </w:r>
    </w:p>
    <w:p w:rsidR="00CA182E" w:rsidRDefault="00CA182E" w:rsidP="002D075E">
      <w:pPr>
        <w:pStyle w:val="Prrafodelista"/>
        <w:numPr>
          <w:ilvl w:val="0"/>
          <w:numId w:val="27"/>
        </w:numPr>
        <w:tabs>
          <w:tab w:val="left" w:pos="567"/>
          <w:tab w:val="left" w:pos="1134"/>
        </w:tabs>
        <w:spacing w:after="240" w:line="360" w:lineRule="auto"/>
        <w:ind w:left="851" w:firstLine="0"/>
        <w:jc w:val="both"/>
        <w:rPr>
          <w:rFonts w:ascii="Century" w:eastAsia="Times New Roman" w:hAnsi="Century" w:cs="Times New Roman"/>
          <w:bCs/>
          <w:sz w:val="24"/>
          <w:szCs w:val="24"/>
        </w:rPr>
      </w:pPr>
      <w:r w:rsidRPr="002C13F3">
        <w:rPr>
          <w:rFonts w:ascii="Century" w:eastAsia="Times New Roman" w:hAnsi="Century" w:cs="Times New Roman"/>
          <w:bCs/>
          <w:sz w:val="24"/>
          <w:szCs w:val="24"/>
        </w:rPr>
        <w:t>Norma Foral 3/1990, de 11 de enero, del Impuesto sobre Sucesiones y Donaciones.</w:t>
      </w:r>
    </w:p>
    <w:p w:rsidR="002D075E" w:rsidRPr="002D075E" w:rsidRDefault="002D075E" w:rsidP="002D075E">
      <w:pPr>
        <w:pStyle w:val="Prrafodelista"/>
        <w:tabs>
          <w:tab w:val="left" w:pos="567"/>
          <w:tab w:val="left" w:pos="1134"/>
        </w:tabs>
        <w:spacing w:after="240" w:line="360" w:lineRule="auto"/>
        <w:ind w:left="851"/>
        <w:jc w:val="both"/>
        <w:rPr>
          <w:rFonts w:ascii="Century" w:eastAsia="Times New Roman" w:hAnsi="Century" w:cs="Times New Roman"/>
          <w:bCs/>
          <w:sz w:val="12"/>
          <w:szCs w:val="12"/>
        </w:rPr>
      </w:pPr>
    </w:p>
    <w:p w:rsidR="00994D4C" w:rsidRPr="002853A4" w:rsidRDefault="00994D4C" w:rsidP="002D075E">
      <w:pPr>
        <w:pStyle w:val="Prrafodelista"/>
        <w:numPr>
          <w:ilvl w:val="0"/>
          <w:numId w:val="12"/>
        </w:numPr>
        <w:tabs>
          <w:tab w:val="left" w:pos="567"/>
          <w:tab w:val="left" w:pos="1134"/>
        </w:tabs>
        <w:spacing w:after="240" w:line="360" w:lineRule="auto"/>
        <w:ind w:firstLine="0"/>
        <w:jc w:val="both"/>
        <w:rPr>
          <w:rFonts w:ascii="Century" w:eastAsia="Times New Roman" w:hAnsi="Century" w:cs="Times New Roman"/>
          <w:bCs/>
          <w:sz w:val="24"/>
          <w:szCs w:val="24"/>
        </w:rPr>
      </w:pPr>
      <w:r w:rsidRPr="002C13F3">
        <w:rPr>
          <w:rFonts w:ascii="Century" w:eastAsia="Times New Roman" w:hAnsi="Century" w:cs="Times New Roman"/>
          <w:bCs/>
          <w:sz w:val="24"/>
          <w:szCs w:val="24"/>
        </w:rPr>
        <w:t xml:space="preserve">Norma Foral 4/2016, de 14 de noviembre, de adaptación del sistema tributario del Territorio Histórico de </w:t>
      </w:r>
      <w:proofErr w:type="spellStart"/>
      <w:r w:rsidRPr="002C13F3">
        <w:rPr>
          <w:rFonts w:ascii="Century" w:eastAsia="Times New Roman" w:hAnsi="Century" w:cs="Times New Roman"/>
          <w:bCs/>
          <w:sz w:val="24"/>
          <w:szCs w:val="24"/>
        </w:rPr>
        <w:t>Gipuzkoa</w:t>
      </w:r>
      <w:proofErr w:type="spellEnd"/>
      <w:r w:rsidRPr="002C13F3">
        <w:rPr>
          <w:rFonts w:ascii="Century" w:eastAsia="Times New Roman" w:hAnsi="Century" w:cs="Times New Roman"/>
          <w:bCs/>
          <w:sz w:val="24"/>
          <w:szCs w:val="24"/>
        </w:rPr>
        <w:t xml:space="preserve"> a la Ley 5/2015, de 25 de junio, de Derecho Civil Vasco</w:t>
      </w:r>
      <w:r w:rsidRPr="00514069">
        <w:rPr>
          <w:rFonts w:eastAsia="Times New Roman" w:cstheme="minorHAnsi"/>
          <w:bCs/>
          <w:sz w:val="24"/>
          <w:szCs w:val="24"/>
        </w:rPr>
        <w:t>:</w:t>
      </w:r>
      <w:r w:rsidRPr="002C13F3">
        <w:rPr>
          <w:rFonts w:ascii="Century" w:eastAsia="Times New Roman" w:hAnsi="Century" w:cs="Times New Roman"/>
          <w:bCs/>
          <w:sz w:val="24"/>
          <w:szCs w:val="24"/>
        </w:rPr>
        <w:t xml:space="preserve"> Modificación de la Norma Foral 3/1990, de 11 de enero, del Impuesto sobre Sucesiones y Donaciones.</w:t>
      </w:r>
    </w:p>
    <w:p w:rsidR="00994D4C" w:rsidRPr="002853A4" w:rsidRDefault="00994D4C" w:rsidP="003E7B6C">
      <w:pPr>
        <w:pStyle w:val="Prrafodelista"/>
        <w:tabs>
          <w:tab w:val="left" w:pos="567"/>
        </w:tabs>
        <w:spacing w:after="240" w:line="360" w:lineRule="auto"/>
        <w:ind w:left="862"/>
        <w:jc w:val="both"/>
        <w:rPr>
          <w:rFonts w:ascii="Century" w:eastAsia="Times New Roman" w:hAnsi="Century" w:cs="Times New Roman"/>
          <w:bCs/>
          <w:sz w:val="14"/>
          <w:szCs w:val="14"/>
        </w:rPr>
      </w:pPr>
    </w:p>
    <w:p w:rsidR="00994D4C" w:rsidRDefault="00994D4C" w:rsidP="003E7B6C">
      <w:pPr>
        <w:pStyle w:val="Prrafodelista"/>
        <w:numPr>
          <w:ilvl w:val="0"/>
          <w:numId w:val="22"/>
        </w:numPr>
        <w:tabs>
          <w:tab w:val="left" w:pos="567"/>
        </w:tabs>
        <w:spacing w:after="240" w:line="360" w:lineRule="auto"/>
        <w:ind w:left="284" w:firstLine="0"/>
        <w:jc w:val="both"/>
        <w:rPr>
          <w:rFonts w:ascii="Century" w:eastAsia="Times New Roman" w:hAnsi="Century" w:cs="Times New Roman"/>
          <w:b/>
          <w:sz w:val="24"/>
          <w:szCs w:val="24"/>
        </w:rPr>
      </w:pPr>
      <w:r w:rsidRPr="00253247">
        <w:rPr>
          <w:rFonts w:ascii="Century" w:eastAsia="Times New Roman" w:hAnsi="Century" w:cs="Times New Roman"/>
          <w:b/>
          <w:sz w:val="24"/>
          <w:szCs w:val="24"/>
        </w:rPr>
        <w:t>Vizcaya</w:t>
      </w:r>
      <w:r w:rsidRPr="00253247">
        <w:rPr>
          <w:rFonts w:eastAsia="Times New Roman" w:cstheme="minorHAnsi"/>
          <w:b/>
          <w:sz w:val="24"/>
          <w:szCs w:val="24"/>
        </w:rPr>
        <w:t>:</w:t>
      </w:r>
      <w:r w:rsidRPr="00253247">
        <w:rPr>
          <w:rFonts w:ascii="Century" w:eastAsia="Times New Roman" w:hAnsi="Century" w:cs="Times New Roman"/>
          <w:b/>
          <w:sz w:val="24"/>
          <w:szCs w:val="24"/>
        </w:rPr>
        <w:t xml:space="preserve"> </w:t>
      </w:r>
    </w:p>
    <w:p w:rsidR="00CA182E" w:rsidRDefault="00357B07" w:rsidP="003E7B6C">
      <w:pPr>
        <w:pStyle w:val="Prrafodelista"/>
        <w:numPr>
          <w:ilvl w:val="0"/>
          <w:numId w:val="12"/>
        </w:numPr>
        <w:tabs>
          <w:tab w:val="left" w:pos="567"/>
          <w:tab w:val="left" w:pos="1134"/>
        </w:tabs>
        <w:spacing w:after="240" w:line="360" w:lineRule="auto"/>
        <w:ind w:hanging="11"/>
        <w:jc w:val="both"/>
        <w:rPr>
          <w:rFonts w:ascii="Century" w:hAnsi="Century"/>
          <w:sz w:val="24"/>
          <w:szCs w:val="24"/>
        </w:rPr>
      </w:pPr>
      <w:hyperlink r:id="rId16" w:tgtFrame="_blank" w:tooltip="Acceso al PDF que se abrirá en una nueva ventana de su navegador" w:history="1">
        <w:r w:rsidR="00CA182E" w:rsidRPr="00CA182E">
          <w:rPr>
            <w:rFonts w:ascii="Century" w:hAnsi="Century"/>
            <w:sz w:val="24"/>
            <w:szCs w:val="24"/>
          </w:rPr>
          <w:t>Norma Foral 10/2013, de 5 de diciembre, de modificación del texto refundido de la Norma Foral 2/1989, de 15 de febrero, del Impuesto Sobre Sucesiones y Donaciones y de la Norma Foral 1/2011, de 24 de marzo, del Impuesto Sobre Transmisiones Patrimoniales y Actos Jurídicos Documentados</w:t>
        </w:r>
      </w:hyperlink>
      <w:r w:rsidR="00CA182E" w:rsidRPr="00CA182E">
        <w:rPr>
          <w:rFonts w:ascii="Century" w:hAnsi="Century"/>
          <w:sz w:val="24"/>
          <w:szCs w:val="24"/>
        </w:rPr>
        <w:t>.</w:t>
      </w:r>
    </w:p>
    <w:p w:rsidR="002D075E" w:rsidRPr="002D075E" w:rsidRDefault="002D075E" w:rsidP="002D075E">
      <w:pPr>
        <w:pStyle w:val="Prrafodelista"/>
        <w:tabs>
          <w:tab w:val="left" w:pos="567"/>
          <w:tab w:val="left" w:pos="1134"/>
        </w:tabs>
        <w:spacing w:after="240" w:line="360" w:lineRule="auto"/>
        <w:ind w:left="862"/>
        <w:jc w:val="both"/>
        <w:rPr>
          <w:rFonts w:ascii="Century" w:hAnsi="Century"/>
          <w:sz w:val="12"/>
          <w:szCs w:val="12"/>
        </w:rPr>
      </w:pPr>
    </w:p>
    <w:p w:rsidR="00994D4C" w:rsidRPr="002853A4" w:rsidRDefault="00994D4C" w:rsidP="002D075E">
      <w:pPr>
        <w:pStyle w:val="Prrafodelista"/>
        <w:numPr>
          <w:ilvl w:val="0"/>
          <w:numId w:val="21"/>
        </w:numPr>
        <w:tabs>
          <w:tab w:val="left" w:pos="567"/>
          <w:tab w:val="left" w:pos="1134"/>
        </w:tabs>
        <w:spacing w:after="240" w:line="360" w:lineRule="auto"/>
        <w:ind w:firstLine="0"/>
        <w:jc w:val="both"/>
        <w:rPr>
          <w:rFonts w:ascii="Century" w:hAnsi="Century"/>
          <w:sz w:val="24"/>
          <w:szCs w:val="24"/>
        </w:rPr>
      </w:pPr>
      <w:r w:rsidRPr="00E87EF5">
        <w:rPr>
          <w:rFonts w:ascii="Century" w:hAnsi="Century"/>
          <w:sz w:val="24"/>
          <w:szCs w:val="24"/>
        </w:rPr>
        <w:t xml:space="preserve">Norma Foral 4/2015, de 25 de marzo, del Impuesto sobre Sucesiones y Donaciones.   </w:t>
      </w:r>
    </w:p>
    <w:p w:rsidR="00994D4C" w:rsidRDefault="00994D4C" w:rsidP="002D11BC">
      <w:pPr>
        <w:spacing w:after="240" w:line="360" w:lineRule="auto"/>
        <w:jc w:val="both"/>
        <w:rPr>
          <w:rFonts w:cstheme="minorHAnsi"/>
          <w:b/>
          <w:sz w:val="24"/>
          <w:szCs w:val="24"/>
        </w:rPr>
      </w:pPr>
      <w:r w:rsidRPr="002C13F3">
        <w:rPr>
          <w:rFonts w:ascii="Century" w:hAnsi="Century"/>
          <w:b/>
          <w:sz w:val="24"/>
          <w:szCs w:val="24"/>
        </w:rPr>
        <w:t>Jurisprudencia</w:t>
      </w:r>
      <w:r w:rsidRPr="00514069">
        <w:rPr>
          <w:rFonts w:cstheme="minorHAnsi"/>
          <w:b/>
          <w:sz w:val="24"/>
          <w:szCs w:val="24"/>
        </w:rPr>
        <w:t>:</w:t>
      </w:r>
    </w:p>
    <w:p w:rsidR="00994D4C" w:rsidRDefault="00994D4C" w:rsidP="002D11BC">
      <w:pPr>
        <w:pStyle w:val="Prrafodelista"/>
        <w:numPr>
          <w:ilvl w:val="0"/>
          <w:numId w:val="22"/>
        </w:numPr>
        <w:spacing w:after="240" w:line="360" w:lineRule="auto"/>
        <w:ind w:firstLine="0"/>
        <w:jc w:val="both"/>
        <w:rPr>
          <w:rFonts w:ascii="Century" w:hAnsi="Century"/>
          <w:sz w:val="24"/>
          <w:szCs w:val="24"/>
        </w:rPr>
      </w:pPr>
      <w:r w:rsidRPr="00FC22C0">
        <w:rPr>
          <w:rFonts w:ascii="Century" w:hAnsi="Century"/>
          <w:sz w:val="24"/>
          <w:szCs w:val="24"/>
        </w:rPr>
        <w:t>STC 45/1989, de 20 de febrero</w:t>
      </w:r>
      <w:r>
        <w:rPr>
          <w:rFonts w:ascii="Century" w:hAnsi="Century"/>
          <w:sz w:val="24"/>
          <w:szCs w:val="24"/>
        </w:rPr>
        <w:t>.</w:t>
      </w:r>
    </w:p>
    <w:p w:rsidR="00994D4C" w:rsidRPr="00FC22C0" w:rsidRDefault="00994D4C" w:rsidP="002D11BC">
      <w:pPr>
        <w:pStyle w:val="Prrafodelista"/>
        <w:numPr>
          <w:ilvl w:val="0"/>
          <w:numId w:val="22"/>
        </w:numPr>
        <w:spacing w:after="240" w:line="360" w:lineRule="auto"/>
        <w:ind w:firstLine="0"/>
        <w:jc w:val="both"/>
        <w:rPr>
          <w:rFonts w:ascii="Century" w:hAnsi="Century"/>
          <w:sz w:val="24"/>
          <w:szCs w:val="24"/>
        </w:rPr>
      </w:pPr>
      <w:r>
        <w:rPr>
          <w:rFonts w:ascii="Century" w:hAnsi="Century"/>
          <w:sz w:val="24"/>
          <w:szCs w:val="24"/>
        </w:rPr>
        <w:t>STC 96/2002, de 25 de abril.</w:t>
      </w:r>
    </w:p>
    <w:p w:rsidR="00994D4C" w:rsidRPr="00FC22C0" w:rsidRDefault="00994D4C" w:rsidP="002D11BC">
      <w:pPr>
        <w:pStyle w:val="Prrafodelista"/>
        <w:numPr>
          <w:ilvl w:val="0"/>
          <w:numId w:val="22"/>
        </w:numPr>
        <w:spacing w:after="240" w:line="360" w:lineRule="auto"/>
        <w:ind w:firstLine="0"/>
        <w:jc w:val="both"/>
        <w:rPr>
          <w:rFonts w:ascii="Century" w:hAnsi="Century"/>
          <w:sz w:val="24"/>
          <w:szCs w:val="24"/>
        </w:rPr>
      </w:pPr>
      <w:r w:rsidRPr="00FC22C0">
        <w:rPr>
          <w:rFonts w:ascii="Century" w:hAnsi="Century"/>
          <w:sz w:val="24"/>
          <w:szCs w:val="24"/>
        </w:rPr>
        <w:t>STC 193/2004, de 4 de noviembre</w:t>
      </w:r>
      <w:r>
        <w:rPr>
          <w:rFonts w:ascii="Century" w:hAnsi="Century"/>
          <w:sz w:val="24"/>
          <w:szCs w:val="24"/>
        </w:rPr>
        <w:t>.</w:t>
      </w:r>
    </w:p>
    <w:p w:rsidR="00994D4C" w:rsidRPr="00FC22C0" w:rsidRDefault="00994D4C" w:rsidP="002D11BC">
      <w:pPr>
        <w:pStyle w:val="Prrafodelista"/>
        <w:numPr>
          <w:ilvl w:val="0"/>
          <w:numId w:val="22"/>
        </w:numPr>
        <w:spacing w:after="240" w:line="360" w:lineRule="auto"/>
        <w:ind w:firstLine="0"/>
        <w:jc w:val="both"/>
        <w:rPr>
          <w:rFonts w:ascii="Century" w:hAnsi="Century"/>
          <w:sz w:val="24"/>
          <w:szCs w:val="24"/>
        </w:rPr>
      </w:pPr>
      <w:r>
        <w:rPr>
          <w:rFonts w:ascii="Century" w:eastAsia="Times New Roman" w:hAnsi="Century" w:cs="Arial"/>
          <w:bCs/>
          <w:sz w:val="24"/>
          <w:szCs w:val="24"/>
        </w:rPr>
        <w:t>STC 30/2015, de 19 de febrero.</w:t>
      </w:r>
    </w:p>
    <w:p w:rsidR="00994D4C" w:rsidRDefault="00994D4C" w:rsidP="002D11BC">
      <w:pPr>
        <w:pStyle w:val="Prrafodelista"/>
        <w:numPr>
          <w:ilvl w:val="0"/>
          <w:numId w:val="22"/>
        </w:numPr>
        <w:spacing w:after="240" w:line="360" w:lineRule="auto"/>
        <w:ind w:firstLine="0"/>
        <w:jc w:val="both"/>
        <w:rPr>
          <w:rFonts w:ascii="Century" w:hAnsi="Century"/>
          <w:sz w:val="24"/>
          <w:szCs w:val="24"/>
        </w:rPr>
      </w:pPr>
      <w:r w:rsidRPr="00FC22C0">
        <w:rPr>
          <w:rFonts w:ascii="Century" w:hAnsi="Century"/>
          <w:sz w:val="24"/>
          <w:szCs w:val="24"/>
        </w:rPr>
        <w:t>STC</w:t>
      </w:r>
      <w:r>
        <w:rPr>
          <w:rFonts w:ascii="Century" w:hAnsi="Century"/>
          <w:sz w:val="24"/>
          <w:szCs w:val="24"/>
        </w:rPr>
        <w:t xml:space="preserve"> 60/2015, de 18 de marzo.</w:t>
      </w:r>
    </w:p>
    <w:p w:rsidR="00994D4C" w:rsidRDefault="00994D4C" w:rsidP="002D11BC">
      <w:pPr>
        <w:pStyle w:val="Prrafodelista"/>
        <w:numPr>
          <w:ilvl w:val="0"/>
          <w:numId w:val="23"/>
        </w:numPr>
        <w:spacing w:after="240" w:line="360" w:lineRule="auto"/>
        <w:ind w:left="709" w:firstLine="0"/>
        <w:jc w:val="both"/>
        <w:rPr>
          <w:rFonts w:ascii="Century" w:hAnsi="Century"/>
          <w:sz w:val="24"/>
          <w:szCs w:val="24"/>
        </w:rPr>
      </w:pPr>
      <w:r w:rsidRPr="003E34EE">
        <w:rPr>
          <w:rFonts w:ascii="Century" w:hAnsi="Century"/>
          <w:sz w:val="24"/>
          <w:szCs w:val="24"/>
        </w:rPr>
        <w:t>STJCE de 11 de</w:t>
      </w:r>
      <w:r>
        <w:rPr>
          <w:rFonts w:ascii="Century" w:hAnsi="Century"/>
          <w:sz w:val="24"/>
          <w:szCs w:val="24"/>
        </w:rPr>
        <w:t xml:space="preserve"> marzo de 2004, asunto C-9/02.</w:t>
      </w:r>
    </w:p>
    <w:p w:rsidR="00994D4C" w:rsidRPr="003E34EE" w:rsidRDefault="00994D4C" w:rsidP="002D11BC">
      <w:pPr>
        <w:pStyle w:val="Prrafodelista"/>
        <w:numPr>
          <w:ilvl w:val="0"/>
          <w:numId w:val="23"/>
        </w:numPr>
        <w:spacing w:after="240" w:line="360" w:lineRule="auto"/>
        <w:ind w:left="709" w:firstLine="0"/>
        <w:jc w:val="both"/>
        <w:rPr>
          <w:rFonts w:ascii="Century" w:hAnsi="Century"/>
          <w:sz w:val="24"/>
          <w:szCs w:val="24"/>
        </w:rPr>
      </w:pPr>
      <w:r w:rsidRPr="003E34EE">
        <w:rPr>
          <w:rFonts w:ascii="Century" w:hAnsi="Century"/>
          <w:sz w:val="24"/>
          <w:szCs w:val="24"/>
        </w:rPr>
        <w:t>STJCE de 13 de diciembre de 2005, asunto C-446/03</w:t>
      </w:r>
      <w:r>
        <w:rPr>
          <w:rFonts w:ascii="Century" w:hAnsi="Century"/>
          <w:sz w:val="24"/>
          <w:szCs w:val="24"/>
        </w:rPr>
        <w:t>.</w:t>
      </w:r>
    </w:p>
    <w:p w:rsidR="00994D4C" w:rsidRPr="003E34EE" w:rsidRDefault="00994D4C" w:rsidP="002D11BC">
      <w:pPr>
        <w:pStyle w:val="Prrafodelista"/>
        <w:numPr>
          <w:ilvl w:val="0"/>
          <w:numId w:val="23"/>
        </w:numPr>
        <w:spacing w:after="240" w:line="360" w:lineRule="auto"/>
        <w:ind w:left="709" w:firstLine="0"/>
        <w:jc w:val="both"/>
        <w:rPr>
          <w:rFonts w:ascii="Century" w:hAnsi="Century"/>
          <w:sz w:val="24"/>
          <w:szCs w:val="24"/>
        </w:rPr>
      </w:pPr>
      <w:r w:rsidRPr="003E34EE">
        <w:rPr>
          <w:rFonts w:ascii="Century" w:hAnsi="Century"/>
          <w:sz w:val="24"/>
          <w:szCs w:val="24"/>
        </w:rPr>
        <w:t>STJCE de 7 de septiembre de 2006, asunto C-470/04</w:t>
      </w:r>
      <w:r>
        <w:rPr>
          <w:rFonts w:ascii="Century" w:hAnsi="Century"/>
          <w:sz w:val="24"/>
          <w:szCs w:val="24"/>
        </w:rPr>
        <w:t>.</w:t>
      </w:r>
    </w:p>
    <w:p w:rsidR="00994D4C" w:rsidRPr="003E34EE" w:rsidRDefault="00994D4C" w:rsidP="002D11BC">
      <w:pPr>
        <w:pStyle w:val="Prrafodelista"/>
        <w:numPr>
          <w:ilvl w:val="0"/>
          <w:numId w:val="23"/>
        </w:numPr>
        <w:spacing w:after="240" w:line="360" w:lineRule="auto"/>
        <w:ind w:left="709" w:firstLine="0"/>
        <w:jc w:val="both"/>
        <w:rPr>
          <w:rFonts w:ascii="Century" w:hAnsi="Century"/>
          <w:sz w:val="24"/>
          <w:szCs w:val="24"/>
        </w:rPr>
      </w:pPr>
      <w:r w:rsidRPr="003E34EE">
        <w:rPr>
          <w:rFonts w:ascii="Century" w:hAnsi="Century"/>
          <w:sz w:val="24"/>
          <w:szCs w:val="24"/>
        </w:rPr>
        <w:t>STJCE</w:t>
      </w:r>
      <w:r w:rsidRPr="003E34EE">
        <w:rPr>
          <w:rFonts w:ascii="Century" w:hAnsi="Century" w:cs="MST T 31c 5d 4"/>
          <w:sz w:val="24"/>
          <w:szCs w:val="24"/>
        </w:rPr>
        <w:t xml:space="preserve"> de 12 de septiembre de 2006, asunto C-196/04</w:t>
      </w:r>
      <w:r>
        <w:rPr>
          <w:rFonts w:ascii="Century" w:hAnsi="Century" w:cs="MST T 31c 5d 4"/>
          <w:sz w:val="24"/>
          <w:szCs w:val="24"/>
        </w:rPr>
        <w:t>.</w:t>
      </w:r>
    </w:p>
    <w:p w:rsidR="00994D4C" w:rsidRPr="003E34EE" w:rsidRDefault="00994D4C" w:rsidP="002D11BC">
      <w:pPr>
        <w:pStyle w:val="Prrafodelista"/>
        <w:numPr>
          <w:ilvl w:val="0"/>
          <w:numId w:val="23"/>
        </w:numPr>
        <w:spacing w:after="240" w:line="360" w:lineRule="auto"/>
        <w:ind w:left="709" w:firstLine="0"/>
        <w:jc w:val="both"/>
        <w:rPr>
          <w:rFonts w:ascii="Century" w:hAnsi="Century"/>
          <w:sz w:val="24"/>
          <w:szCs w:val="24"/>
        </w:rPr>
      </w:pPr>
      <w:r w:rsidRPr="003E34EE">
        <w:rPr>
          <w:rFonts w:ascii="Century" w:hAnsi="Century"/>
          <w:sz w:val="24"/>
          <w:szCs w:val="24"/>
        </w:rPr>
        <w:t xml:space="preserve">STJCE </w:t>
      </w:r>
      <w:r>
        <w:rPr>
          <w:rFonts w:ascii="Century" w:hAnsi="Century"/>
          <w:sz w:val="24"/>
          <w:szCs w:val="24"/>
        </w:rPr>
        <w:t xml:space="preserve">de </w:t>
      </w:r>
      <w:r w:rsidRPr="003E34EE">
        <w:rPr>
          <w:rFonts w:ascii="Century" w:hAnsi="Century" w:cs="MST T 31c 5d 4"/>
          <w:sz w:val="24"/>
          <w:szCs w:val="24"/>
        </w:rPr>
        <w:t>13 de marzo de 2007, C-524/04</w:t>
      </w:r>
      <w:r>
        <w:rPr>
          <w:rFonts w:ascii="Century" w:hAnsi="Century" w:cs="MST T 31c 5d 4"/>
          <w:sz w:val="24"/>
          <w:szCs w:val="24"/>
        </w:rPr>
        <w:t>.</w:t>
      </w:r>
    </w:p>
    <w:p w:rsidR="00994D4C" w:rsidRPr="003E34EE" w:rsidRDefault="00994D4C" w:rsidP="002D11BC">
      <w:pPr>
        <w:pStyle w:val="Prrafodelista"/>
        <w:numPr>
          <w:ilvl w:val="0"/>
          <w:numId w:val="23"/>
        </w:numPr>
        <w:spacing w:after="240" w:line="360" w:lineRule="auto"/>
        <w:ind w:left="709" w:firstLine="0"/>
        <w:jc w:val="both"/>
        <w:rPr>
          <w:rFonts w:ascii="Century" w:hAnsi="Century" w:cs="MST T 31c 5d 4"/>
          <w:sz w:val="24"/>
          <w:szCs w:val="24"/>
        </w:rPr>
      </w:pPr>
      <w:r w:rsidRPr="003E34EE">
        <w:rPr>
          <w:rFonts w:ascii="Century" w:hAnsi="Century"/>
          <w:sz w:val="24"/>
          <w:szCs w:val="24"/>
        </w:rPr>
        <w:t>STJCE</w:t>
      </w:r>
      <w:r w:rsidRPr="003E34EE">
        <w:rPr>
          <w:rFonts w:ascii="Century" w:hAnsi="Century" w:cs="MST T 31c 5d 4"/>
          <w:sz w:val="24"/>
          <w:szCs w:val="24"/>
        </w:rPr>
        <w:t xml:space="preserve"> de 17 de enero de 2008, C-105/07</w:t>
      </w:r>
      <w:r>
        <w:rPr>
          <w:rFonts w:ascii="Century" w:hAnsi="Century" w:cs="MST T 31c 5d 4"/>
          <w:sz w:val="24"/>
          <w:szCs w:val="24"/>
        </w:rPr>
        <w:t>.</w:t>
      </w:r>
    </w:p>
    <w:p w:rsidR="00994D4C" w:rsidRPr="008A5BD1" w:rsidRDefault="00994D4C" w:rsidP="002D075E">
      <w:pPr>
        <w:pStyle w:val="Prrafodelista"/>
        <w:numPr>
          <w:ilvl w:val="0"/>
          <w:numId w:val="23"/>
        </w:numPr>
        <w:spacing w:after="0" w:line="360" w:lineRule="auto"/>
        <w:ind w:left="709" w:firstLine="0"/>
        <w:jc w:val="both"/>
        <w:rPr>
          <w:rFonts w:ascii="Century" w:hAnsi="Century" w:cs="MST T 31c 5d 4"/>
          <w:sz w:val="24"/>
          <w:szCs w:val="24"/>
        </w:rPr>
      </w:pPr>
      <w:r w:rsidRPr="003E34EE">
        <w:rPr>
          <w:rFonts w:ascii="Century" w:hAnsi="Century"/>
          <w:sz w:val="24"/>
          <w:szCs w:val="24"/>
        </w:rPr>
        <w:t>STJCE</w:t>
      </w:r>
      <w:r w:rsidRPr="003E34EE">
        <w:rPr>
          <w:rFonts w:ascii="Century" w:hAnsi="Century" w:cs="MST T 31c 5d 4"/>
          <w:sz w:val="24"/>
          <w:szCs w:val="24"/>
        </w:rPr>
        <w:t xml:space="preserve"> de 21 de enero de 2010, asunto C-311/08</w:t>
      </w:r>
      <w:r>
        <w:rPr>
          <w:rFonts w:ascii="Century" w:hAnsi="Century" w:cs="MST T 31c 5d 4"/>
          <w:sz w:val="24"/>
          <w:szCs w:val="24"/>
        </w:rPr>
        <w:t>.</w:t>
      </w:r>
      <w:bookmarkStart w:id="0" w:name="_GoBack"/>
      <w:bookmarkEnd w:id="0"/>
    </w:p>
    <w:p w:rsidR="00994D4C" w:rsidRPr="00FC22C0" w:rsidRDefault="00994D4C" w:rsidP="002D11BC">
      <w:pPr>
        <w:pStyle w:val="Textonotapie"/>
        <w:numPr>
          <w:ilvl w:val="0"/>
          <w:numId w:val="22"/>
        </w:numPr>
        <w:spacing w:line="360" w:lineRule="auto"/>
        <w:ind w:firstLine="0"/>
        <w:jc w:val="both"/>
        <w:rPr>
          <w:rFonts w:ascii="Century" w:hAnsi="Century"/>
          <w:sz w:val="24"/>
          <w:szCs w:val="24"/>
        </w:rPr>
      </w:pPr>
      <w:r w:rsidRPr="00FC22C0">
        <w:rPr>
          <w:rFonts w:ascii="Century" w:hAnsi="Century"/>
          <w:sz w:val="24"/>
          <w:szCs w:val="24"/>
        </w:rPr>
        <w:t>STJUE de 11 de diciembre de 2003, asunto C-364/01.</w:t>
      </w:r>
    </w:p>
    <w:p w:rsidR="00994D4C" w:rsidRPr="00FC22C0" w:rsidRDefault="00994D4C" w:rsidP="002D11BC">
      <w:pPr>
        <w:pStyle w:val="Prrafodelista"/>
        <w:numPr>
          <w:ilvl w:val="0"/>
          <w:numId w:val="22"/>
        </w:numPr>
        <w:spacing w:after="240" w:line="360" w:lineRule="auto"/>
        <w:ind w:firstLine="0"/>
        <w:jc w:val="both"/>
        <w:rPr>
          <w:rFonts w:ascii="Century" w:hAnsi="Century"/>
          <w:sz w:val="24"/>
          <w:szCs w:val="24"/>
        </w:rPr>
      </w:pPr>
      <w:r w:rsidRPr="00FC22C0">
        <w:rPr>
          <w:rFonts w:ascii="Century" w:hAnsi="Century"/>
          <w:sz w:val="24"/>
          <w:szCs w:val="24"/>
        </w:rPr>
        <w:t>STJUE de 17 de enero de 2008, asunto C-256/06</w:t>
      </w:r>
      <w:r>
        <w:rPr>
          <w:rFonts w:ascii="Century" w:hAnsi="Century"/>
          <w:sz w:val="24"/>
          <w:szCs w:val="24"/>
        </w:rPr>
        <w:t>.</w:t>
      </w:r>
    </w:p>
    <w:p w:rsidR="00994D4C" w:rsidRPr="00FC22C0" w:rsidRDefault="00994D4C" w:rsidP="002D11BC">
      <w:pPr>
        <w:pStyle w:val="Prrafodelista"/>
        <w:numPr>
          <w:ilvl w:val="0"/>
          <w:numId w:val="22"/>
        </w:numPr>
        <w:spacing w:after="240" w:line="360" w:lineRule="auto"/>
        <w:ind w:firstLine="0"/>
        <w:jc w:val="both"/>
        <w:rPr>
          <w:rFonts w:ascii="Century" w:hAnsi="Century"/>
          <w:sz w:val="24"/>
          <w:szCs w:val="24"/>
        </w:rPr>
      </w:pPr>
      <w:r w:rsidRPr="00FC22C0">
        <w:rPr>
          <w:rFonts w:ascii="Century" w:hAnsi="Century"/>
          <w:sz w:val="24"/>
          <w:szCs w:val="24"/>
        </w:rPr>
        <w:t>STJUE de 11 de septiembre de 2008, asunto C-11/07</w:t>
      </w:r>
      <w:r>
        <w:rPr>
          <w:rFonts w:ascii="Century" w:hAnsi="Century"/>
          <w:sz w:val="24"/>
          <w:szCs w:val="24"/>
        </w:rPr>
        <w:t>.</w:t>
      </w:r>
    </w:p>
    <w:p w:rsidR="00994D4C" w:rsidRPr="00FC22C0" w:rsidRDefault="00994D4C" w:rsidP="002D11BC">
      <w:pPr>
        <w:pStyle w:val="Prrafodelista"/>
        <w:numPr>
          <w:ilvl w:val="0"/>
          <w:numId w:val="22"/>
        </w:numPr>
        <w:spacing w:after="240" w:line="360" w:lineRule="auto"/>
        <w:ind w:firstLine="0"/>
        <w:jc w:val="both"/>
        <w:rPr>
          <w:rFonts w:ascii="Century" w:hAnsi="Century"/>
          <w:sz w:val="24"/>
          <w:szCs w:val="24"/>
        </w:rPr>
      </w:pPr>
      <w:r w:rsidRPr="00FC22C0">
        <w:rPr>
          <w:rFonts w:ascii="Century" w:hAnsi="Century"/>
          <w:sz w:val="24"/>
          <w:szCs w:val="24"/>
        </w:rPr>
        <w:t>STJUE de 22 de abril de 2010, asunto C-510/08</w:t>
      </w:r>
      <w:r>
        <w:rPr>
          <w:rFonts w:ascii="Century" w:hAnsi="Century"/>
          <w:sz w:val="24"/>
          <w:szCs w:val="24"/>
        </w:rPr>
        <w:t>.</w:t>
      </w:r>
    </w:p>
    <w:p w:rsidR="00994D4C" w:rsidRPr="00FC22C0" w:rsidRDefault="00994D4C" w:rsidP="002D11BC">
      <w:pPr>
        <w:pStyle w:val="Prrafodelista"/>
        <w:numPr>
          <w:ilvl w:val="0"/>
          <w:numId w:val="22"/>
        </w:numPr>
        <w:spacing w:after="240" w:line="360" w:lineRule="auto"/>
        <w:ind w:firstLine="0"/>
        <w:jc w:val="both"/>
        <w:rPr>
          <w:rFonts w:ascii="Century" w:hAnsi="Century"/>
          <w:sz w:val="24"/>
          <w:szCs w:val="24"/>
        </w:rPr>
      </w:pPr>
      <w:r w:rsidRPr="00FC22C0">
        <w:rPr>
          <w:rFonts w:ascii="Century" w:hAnsi="Century"/>
          <w:sz w:val="24"/>
          <w:szCs w:val="24"/>
        </w:rPr>
        <w:t>STJUE de 15 de septiembre de 2011, asunto C-132/10</w:t>
      </w:r>
      <w:r>
        <w:rPr>
          <w:rFonts w:ascii="Century" w:hAnsi="Century"/>
          <w:sz w:val="24"/>
          <w:szCs w:val="24"/>
        </w:rPr>
        <w:t>.</w:t>
      </w:r>
    </w:p>
    <w:p w:rsidR="00994D4C" w:rsidRPr="00FC22C0" w:rsidRDefault="00994D4C" w:rsidP="002D11BC">
      <w:pPr>
        <w:pStyle w:val="Prrafodelista"/>
        <w:numPr>
          <w:ilvl w:val="0"/>
          <w:numId w:val="22"/>
        </w:numPr>
        <w:spacing w:after="240" w:line="360" w:lineRule="auto"/>
        <w:ind w:firstLine="0"/>
        <w:jc w:val="both"/>
        <w:rPr>
          <w:rFonts w:ascii="Century" w:hAnsi="Century"/>
          <w:sz w:val="24"/>
          <w:szCs w:val="24"/>
        </w:rPr>
      </w:pPr>
      <w:r w:rsidRPr="00FC22C0">
        <w:rPr>
          <w:rFonts w:ascii="Century" w:hAnsi="Century"/>
          <w:sz w:val="24"/>
          <w:szCs w:val="24"/>
        </w:rPr>
        <w:t>STJUE de 17 de octubre de 2013, asunto C-181/12</w:t>
      </w:r>
      <w:r>
        <w:rPr>
          <w:rFonts w:ascii="Century" w:hAnsi="Century"/>
          <w:sz w:val="24"/>
          <w:szCs w:val="24"/>
        </w:rPr>
        <w:t>.</w:t>
      </w:r>
    </w:p>
    <w:p w:rsidR="00994D4C" w:rsidRPr="00FC22C0" w:rsidRDefault="00994D4C" w:rsidP="002D11BC">
      <w:pPr>
        <w:pStyle w:val="Prrafodelista"/>
        <w:numPr>
          <w:ilvl w:val="0"/>
          <w:numId w:val="22"/>
        </w:numPr>
        <w:spacing w:after="240" w:line="360" w:lineRule="auto"/>
        <w:ind w:firstLine="0"/>
        <w:jc w:val="both"/>
        <w:rPr>
          <w:rFonts w:ascii="Century" w:hAnsi="Century"/>
          <w:sz w:val="24"/>
          <w:szCs w:val="24"/>
        </w:rPr>
      </w:pPr>
      <w:r w:rsidRPr="00FC22C0">
        <w:rPr>
          <w:rFonts w:ascii="Century" w:hAnsi="Century"/>
          <w:sz w:val="24"/>
          <w:szCs w:val="24"/>
        </w:rPr>
        <w:t>STJUE de 12 de diciembre de 2013, asunto C-303/12</w:t>
      </w:r>
      <w:r>
        <w:rPr>
          <w:rFonts w:ascii="Century" w:hAnsi="Century"/>
          <w:sz w:val="24"/>
          <w:szCs w:val="24"/>
        </w:rPr>
        <w:t>.</w:t>
      </w:r>
    </w:p>
    <w:p w:rsidR="00994D4C" w:rsidRPr="00FC22C0" w:rsidRDefault="00994D4C" w:rsidP="002D11BC">
      <w:pPr>
        <w:pStyle w:val="Prrafodelista"/>
        <w:numPr>
          <w:ilvl w:val="0"/>
          <w:numId w:val="22"/>
        </w:numPr>
        <w:spacing w:after="240" w:line="360" w:lineRule="auto"/>
        <w:ind w:firstLine="0"/>
        <w:jc w:val="both"/>
        <w:rPr>
          <w:rFonts w:ascii="Century" w:hAnsi="Century"/>
          <w:sz w:val="24"/>
          <w:szCs w:val="24"/>
        </w:rPr>
      </w:pPr>
      <w:r w:rsidRPr="00FC22C0">
        <w:rPr>
          <w:rFonts w:ascii="Century" w:hAnsi="Century"/>
          <w:sz w:val="24"/>
          <w:szCs w:val="24"/>
        </w:rPr>
        <w:t>STJUE de 3 de septiembre de 2014, asunto C-127/12</w:t>
      </w:r>
      <w:r>
        <w:rPr>
          <w:rFonts w:ascii="Century" w:hAnsi="Century"/>
          <w:sz w:val="24"/>
          <w:szCs w:val="24"/>
        </w:rPr>
        <w:t>.</w:t>
      </w:r>
    </w:p>
    <w:p w:rsidR="00994D4C" w:rsidRPr="00FC22C0" w:rsidRDefault="00994D4C" w:rsidP="002D11BC">
      <w:pPr>
        <w:pStyle w:val="Prrafodelista"/>
        <w:numPr>
          <w:ilvl w:val="0"/>
          <w:numId w:val="22"/>
        </w:numPr>
        <w:spacing w:after="240" w:line="360" w:lineRule="auto"/>
        <w:ind w:firstLine="0"/>
        <w:jc w:val="both"/>
        <w:rPr>
          <w:rFonts w:ascii="Century" w:hAnsi="Century"/>
          <w:sz w:val="24"/>
          <w:szCs w:val="24"/>
        </w:rPr>
      </w:pPr>
      <w:r w:rsidRPr="00FC22C0">
        <w:rPr>
          <w:rFonts w:ascii="Century" w:hAnsi="Century"/>
          <w:sz w:val="24"/>
          <w:szCs w:val="24"/>
        </w:rPr>
        <w:t>STJUE de 4 de sept</w:t>
      </w:r>
      <w:r>
        <w:rPr>
          <w:rFonts w:ascii="Century" w:hAnsi="Century"/>
          <w:sz w:val="24"/>
          <w:szCs w:val="24"/>
        </w:rPr>
        <w:t>iembre de 2014, asunto C-211/13.</w:t>
      </w:r>
    </w:p>
    <w:p w:rsidR="00994D4C" w:rsidRPr="00FC22C0" w:rsidRDefault="00994D4C" w:rsidP="002D11BC">
      <w:pPr>
        <w:pStyle w:val="Prrafodelista"/>
        <w:numPr>
          <w:ilvl w:val="0"/>
          <w:numId w:val="22"/>
        </w:numPr>
        <w:spacing w:after="240" w:line="360" w:lineRule="auto"/>
        <w:ind w:firstLine="0"/>
        <w:jc w:val="both"/>
        <w:rPr>
          <w:rFonts w:ascii="Century" w:hAnsi="Century"/>
          <w:sz w:val="24"/>
          <w:szCs w:val="24"/>
        </w:rPr>
      </w:pPr>
      <w:r w:rsidRPr="00FC22C0">
        <w:rPr>
          <w:rFonts w:ascii="Century" w:hAnsi="Century"/>
          <w:sz w:val="24"/>
          <w:szCs w:val="24"/>
        </w:rPr>
        <w:lastRenderedPageBreak/>
        <w:t>STJUE de 11 de septiembre de 2014, asunto C-489/13</w:t>
      </w:r>
      <w:r>
        <w:rPr>
          <w:rFonts w:ascii="Century" w:hAnsi="Century"/>
          <w:sz w:val="24"/>
          <w:szCs w:val="24"/>
        </w:rPr>
        <w:t>.</w:t>
      </w:r>
    </w:p>
    <w:p w:rsidR="00994D4C" w:rsidRPr="00FC22C0" w:rsidRDefault="00994D4C" w:rsidP="002D11BC">
      <w:pPr>
        <w:pStyle w:val="Prrafodelista"/>
        <w:numPr>
          <w:ilvl w:val="0"/>
          <w:numId w:val="22"/>
        </w:numPr>
        <w:spacing w:after="240" w:line="360" w:lineRule="auto"/>
        <w:ind w:firstLine="0"/>
        <w:jc w:val="both"/>
        <w:rPr>
          <w:rFonts w:ascii="Century" w:hAnsi="Century"/>
          <w:sz w:val="24"/>
          <w:szCs w:val="24"/>
        </w:rPr>
      </w:pPr>
      <w:r w:rsidRPr="00FC22C0">
        <w:rPr>
          <w:rFonts w:ascii="Century" w:hAnsi="Century"/>
          <w:sz w:val="24"/>
          <w:szCs w:val="24"/>
        </w:rPr>
        <w:t>STJUE de 18 de febrero de 2016, asunto C-479/14</w:t>
      </w:r>
      <w:r>
        <w:rPr>
          <w:rFonts w:ascii="Century" w:hAnsi="Century"/>
          <w:sz w:val="24"/>
          <w:szCs w:val="24"/>
        </w:rPr>
        <w:t>.</w:t>
      </w:r>
    </w:p>
    <w:p w:rsidR="00994D4C" w:rsidRPr="006A75BB" w:rsidRDefault="00994D4C" w:rsidP="002D11BC">
      <w:pPr>
        <w:pStyle w:val="Prrafodelista"/>
        <w:numPr>
          <w:ilvl w:val="0"/>
          <w:numId w:val="8"/>
        </w:numPr>
        <w:spacing w:after="240" w:line="360" w:lineRule="auto"/>
        <w:ind w:firstLine="0"/>
        <w:jc w:val="both"/>
        <w:rPr>
          <w:rFonts w:ascii="Century" w:hAnsi="Century"/>
          <w:sz w:val="24"/>
          <w:szCs w:val="24"/>
        </w:rPr>
      </w:pPr>
      <w:r w:rsidRPr="006A75BB">
        <w:rPr>
          <w:rFonts w:ascii="Century" w:hAnsi="Century"/>
          <w:sz w:val="24"/>
          <w:szCs w:val="24"/>
        </w:rPr>
        <w:t>STJUE de 26 de mayo de 2016, asunto C-244/15.</w:t>
      </w:r>
    </w:p>
    <w:p w:rsidR="00994D4C" w:rsidRPr="00490D37" w:rsidRDefault="00994D4C" w:rsidP="002D11BC">
      <w:pPr>
        <w:pStyle w:val="Prrafodelista"/>
        <w:spacing w:after="240" w:line="360" w:lineRule="auto"/>
        <w:ind w:left="284"/>
        <w:jc w:val="both"/>
        <w:rPr>
          <w:rFonts w:ascii="Century" w:hAnsi="Century"/>
          <w:b/>
          <w:sz w:val="24"/>
          <w:szCs w:val="24"/>
          <w:u w:val="single"/>
        </w:rPr>
      </w:pPr>
    </w:p>
    <w:p w:rsidR="00994D4C" w:rsidRDefault="00994D4C" w:rsidP="002D11BC">
      <w:pPr>
        <w:pStyle w:val="Default"/>
        <w:spacing w:after="240" w:line="360" w:lineRule="auto"/>
        <w:jc w:val="both"/>
        <w:rPr>
          <w:rFonts w:ascii="Century" w:hAnsi="Century"/>
          <w:color w:val="auto"/>
        </w:rPr>
      </w:pPr>
    </w:p>
    <w:p w:rsidR="00994D4C" w:rsidRDefault="00994D4C" w:rsidP="002D11BC">
      <w:pPr>
        <w:spacing w:after="240" w:line="360" w:lineRule="auto"/>
        <w:jc w:val="both"/>
      </w:pPr>
    </w:p>
    <w:p w:rsidR="002254FB" w:rsidRPr="002254FB" w:rsidRDefault="002254FB" w:rsidP="002D11BC">
      <w:pPr>
        <w:spacing w:after="240" w:line="360" w:lineRule="auto"/>
        <w:jc w:val="both"/>
        <w:rPr>
          <w:rFonts w:ascii="Century" w:hAnsi="Century"/>
          <w:b/>
          <w:sz w:val="24"/>
          <w:szCs w:val="24"/>
          <w:u w:val="single"/>
        </w:rPr>
      </w:pPr>
    </w:p>
    <w:sectPr w:rsidR="002254FB" w:rsidRPr="002254FB" w:rsidSect="000E0CE0">
      <w:headerReference w:type="even" r:id="rId17"/>
      <w:headerReference w:type="default" r:id="rId18"/>
      <w:footerReference w:type="even" r:id="rId19"/>
      <w:footerReference w:type="default" r:id="rId20"/>
      <w:pgSz w:w="11906" w:h="16838"/>
      <w:pgMar w:top="1417" w:right="1701" w:bottom="1417"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514" w:rsidRDefault="00186514" w:rsidP="003126CE">
      <w:pPr>
        <w:spacing w:after="0" w:line="240" w:lineRule="auto"/>
      </w:pPr>
      <w:r>
        <w:separator/>
      </w:r>
    </w:p>
  </w:endnote>
  <w:endnote w:type="continuationSeparator" w:id="0">
    <w:p w:rsidR="00186514" w:rsidRDefault="00186514" w:rsidP="003126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Condensed">
    <w:altName w:val="Helvetica Condensed"/>
    <w:panose1 w:val="00000000000000000000"/>
    <w:charset w:val="00"/>
    <w:family w:val="swiss"/>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MST T 31c 5d 4">
    <w:altName w:val="MST T 31c 5d"/>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EYInterstate-Light">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NeueLT55Roman">
    <w:panose1 w:val="00000000000000000000"/>
    <w:charset w:val="00"/>
    <w:family w:val="auto"/>
    <w:notTrueType/>
    <w:pitch w:val="default"/>
    <w:sig w:usb0="00000003" w:usb1="00000000" w:usb2="00000000" w:usb3="00000000" w:csb0="00000001" w:csb1="00000000"/>
  </w:font>
  <w:font w:name="Optima">
    <w:panose1 w:val="00000000000000000000"/>
    <w:charset w:val="00"/>
    <w:family w:val="swiss"/>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Helvetica-Oblique">
    <w:panose1 w:val="00000000000000000000"/>
    <w:charset w:val="00"/>
    <w:family w:val="roman"/>
    <w:notTrueType/>
    <w:pitch w:val="default"/>
    <w:sig w:usb0="00000003" w:usb1="00000000" w:usb2="00000000" w:usb3="00000000" w:csb0="00000001" w:csb1="00000000"/>
  </w:font>
  <w:font w:name="DIOHL G+ Times">
    <w:altName w:val="Times"/>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985218"/>
      <w:docPartObj>
        <w:docPartGallery w:val="Page Numbers (Bottom of Page)"/>
        <w:docPartUnique/>
      </w:docPartObj>
    </w:sdtPr>
    <w:sdtContent>
      <w:p w:rsidR="006E572A" w:rsidRDefault="00357B07">
        <w:pPr>
          <w:pStyle w:val="Piedepgina"/>
          <w:jc w:val="right"/>
        </w:pPr>
        <w:fldSimple w:instr="PAGE   \* MERGEFORMAT">
          <w:r w:rsidR="005D26C0">
            <w:rPr>
              <w:noProof/>
            </w:rPr>
            <w:t>2</w:t>
          </w:r>
        </w:fldSimple>
      </w:p>
    </w:sdtContent>
  </w:sdt>
  <w:p w:rsidR="006E572A" w:rsidRDefault="006E572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6246443"/>
      <w:docPartObj>
        <w:docPartGallery w:val="Page Numbers (Bottom of Page)"/>
        <w:docPartUnique/>
      </w:docPartObj>
    </w:sdtPr>
    <w:sdtContent>
      <w:p w:rsidR="006E572A" w:rsidRDefault="00357B07">
        <w:pPr>
          <w:pStyle w:val="Piedepgina"/>
          <w:jc w:val="right"/>
        </w:pPr>
        <w:fldSimple w:instr=" PAGE   \* MERGEFORMAT ">
          <w:r w:rsidR="005D26C0">
            <w:rPr>
              <w:noProof/>
            </w:rPr>
            <w:t>1</w:t>
          </w:r>
        </w:fldSimple>
      </w:p>
    </w:sdtContent>
  </w:sdt>
  <w:p w:rsidR="006E572A" w:rsidRDefault="006E572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514" w:rsidRDefault="00186514" w:rsidP="003126CE">
      <w:pPr>
        <w:spacing w:after="0" w:line="240" w:lineRule="auto"/>
      </w:pPr>
      <w:r>
        <w:separator/>
      </w:r>
    </w:p>
  </w:footnote>
  <w:footnote w:type="continuationSeparator" w:id="0">
    <w:p w:rsidR="00186514" w:rsidRDefault="00186514" w:rsidP="003126CE">
      <w:pPr>
        <w:spacing w:after="0" w:line="240" w:lineRule="auto"/>
      </w:pPr>
      <w:r>
        <w:continuationSeparator/>
      </w:r>
    </w:p>
  </w:footnote>
  <w:footnote w:id="1">
    <w:p w:rsidR="006E572A" w:rsidRPr="0030192C" w:rsidRDefault="006E572A" w:rsidP="0030192C">
      <w:pPr>
        <w:pStyle w:val="Sinespaciado"/>
        <w:spacing w:line="360" w:lineRule="auto"/>
        <w:jc w:val="both"/>
        <w:rPr>
          <w:rFonts w:ascii="Century" w:hAnsi="Century"/>
          <w:sz w:val="20"/>
          <w:szCs w:val="20"/>
        </w:rPr>
      </w:pPr>
      <w:r w:rsidRPr="0030192C">
        <w:rPr>
          <w:rStyle w:val="Refdenotaalpie"/>
          <w:rFonts w:ascii="Century" w:hAnsi="Century" w:cstheme="minorHAnsi"/>
          <w:sz w:val="20"/>
          <w:szCs w:val="20"/>
        </w:rPr>
        <w:footnoteRef/>
      </w:r>
      <w:r w:rsidRPr="0030192C">
        <w:rPr>
          <w:rFonts w:ascii="Century" w:hAnsi="Century"/>
          <w:sz w:val="20"/>
          <w:szCs w:val="20"/>
        </w:rPr>
        <w:t xml:space="preserve"> El Acta Única Europea entró en vigor el 1 de julio de 1987.</w:t>
      </w:r>
    </w:p>
  </w:footnote>
  <w:footnote w:id="2">
    <w:p w:rsidR="006E572A" w:rsidRPr="0030192C" w:rsidRDefault="006E572A" w:rsidP="003023AB">
      <w:pPr>
        <w:pStyle w:val="Sinespaciado"/>
        <w:spacing w:line="360" w:lineRule="auto"/>
        <w:jc w:val="both"/>
        <w:rPr>
          <w:rFonts w:ascii="Century" w:hAnsi="Century"/>
          <w:sz w:val="20"/>
          <w:szCs w:val="20"/>
        </w:rPr>
      </w:pPr>
      <w:r w:rsidRPr="0030192C">
        <w:rPr>
          <w:rStyle w:val="Refdenotaalpie"/>
          <w:rFonts w:ascii="Century" w:hAnsi="Century" w:cstheme="minorHAnsi"/>
          <w:sz w:val="20"/>
          <w:szCs w:val="20"/>
        </w:rPr>
        <w:footnoteRef/>
      </w:r>
      <w:r w:rsidRPr="0030192C">
        <w:rPr>
          <w:rFonts w:ascii="Century" w:hAnsi="Century"/>
          <w:sz w:val="20"/>
          <w:szCs w:val="20"/>
        </w:rPr>
        <w:t xml:space="preserve"> En ese sentido, LEÓN GUTIÉRREZ, A, ESCOBAR GALLO, H y GUTIÉRREZ LONDOÑO, E.E en </w:t>
      </w:r>
      <w:r w:rsidRPr="0030192C">
        <w:rPr>
          <w:rFonts w:ascii="Century" w:hAnsi="Century"/>
          <w:i/>
          <w:sz w:val="20"/>
          <w:szCs w:val="20"/>
        </w:rPr>
        <w:t>Hacienda Pública. Un enfoque económico</w:t>
      </w:r>
      <w:r w:rsidRPr="0030192C">
        <w:rPr>
          <w:rFonts w:ascii="Century" w:hAnsi="Century"/>
          <w:sz w:val="20"/>
          <w:szCs w:val="20"/>
        </w:rPr>
        <w:t>, Sello Editorial, Colombia, 2007, p. 576, señalan que</w:t>
      </w:r>
      <w:r w:rsidRPr="003B574E">
        <w:rPr>
          <w:rFonts w:cstheme="minorHAnsi"/>
          <w:sz w:val="20"/>
          <w:szCs w:val="20"/>
        </w:rPr>
        <w:t>:</w:t>
      </w:r>
      <w:r w:rsidRPr="0030192C">
        <w:rPr>
          <w:rFonts w:ascii="Century" w:hAnsi="Century"/>
          <w:sz w:val="20"/>
          <w:szCs w:val="20"/>
        </w:rPr>
        <w:t xml:space="preserve"> “La unión fiscal es un acuerdo internacional entre un grupo de países referente a los impuestos internos, por el que países participantes acuerdan llevar a cabo una serie de acciones simultáneas con respecto a una reorientación de la discriminación geográfica prescrita en su estructura fiscal interna”.</w:t>
      </w:r>
    </w:p>
  </w:footnote>
  <w:footnote w:id="3">
    <w:p w:rsidR="006E572A" w:rsidRPr="0030192C" w:rsidRDefault="006E572A" w:rsidP="003023AB">
      <w:pPr>
        <w:spacing w:after="0" w:line="360" w:lineRule="auto"/>
        <w:jc w:val="both"/>
        <w:rPr>
          <w:rFonts w:ascii="Century" w:hAnsi="Century"/>
          <w:sz w:val="20"/>
          <w:szCs w:val="20"/>
        </w:rPr>
      </w:pPr>
      <w:r w:rsidRPr="0030192C">
        <w:rPr>
          <w:rStyle w:val="Refdenotaalpie"/>
          <w:rFonts w:ascii="Century" w:hAnsi="Century" w:cstheme="minorHAnsi"/>
          <w:sz w:val="20"/>
          <w:szCs w:val="20"/>
        </w:rPr>
        <w:footnoteRef/>
      </w:r>
      <w:r w:rsidRPr="0030192C">
        <w:rPr>
          <w:rFonts w:ascii="Century" w:hAnsi="Century"/>
          <w:sz w:val="20"/>
          <w:szCs w:val="20"/>
        </w:rPr>
        <w:t xml:space="preserve"> LEÓN GUTIÉRREZ, A, ESCOBAR GALLO, H y GUTIÉRREZ LONDOÑO, E.E en </w:t>
      </w:r>
      <w:r w:rsidRPr="0030192C">
        <w:rPr>
          <w:rFonts w:ascii="Century" w:hAnsi="Century"/>
          <w:i/>
          <w:sz w:val="20"/>
          <w:szCs w:val="20"/>
        </w:rPr>
        <w:t>Hacienda Pública. Un enfoque económico,</w:t>
      </w:r>
      <w:r w:rsidRPr="0030192C">
        <w:rPr>
          <w:rFonts w:ascii="Century" w:hAnsi="Century"/>
          <w:sz w:val="20"/>
          <w:szCs w:val="20"/>
        </w:rPr>
        <w:t xml:space="preserve"> </w:t>
      </w:r>
      <w:r w:rsidRPr="0030192C">
        <w:rPr>
          <w:rFonts w:ascii="Century" w:hAnsi="Century"/>
          <w:i/>
          <w:sz w:val="20"/>
          <w:szCs w:val="20"/>
        </w:rPr>
        <w:t>ob. cit</w:t>
      </w:r>
      <w:r w:rsidRPr="0030192C">
        <w:rPr>
          <w:rFonts w:ascii="Century" w:hAnsi="Century"/>
          <w:sz w:val="20"/>
          <w:szCs w:val="20"/>
        </w:rPr>
        <w:t>., p. 579</w:t>
      </w:r>
      <w:r w:rsidRPr="003B574E">
        <w:rPr>
          <w:rFonts w:cstheme="minorHAnsi"/>
          <w:sz w:val="20"/>
          <w:szCs w:val="20"/>
        </w:rPr>
        <w:t>:</w:t>
      </w:r>
      <w:r w:rsidRPr="0030192C">
        <w:rPr>
          <w:rFonts w:ascii="Century" w:hAnsi="Century"/>
          <w:sz w:val="20"/>
          <w:szCs w:val="20"/>
        </w:rPr>
        <w:t xml:space="preserve"> “Una distorsión fiscal puede definirse como la existencia de una discriminación de origen fiscal que altera las condiciones de concurrencia de un mercado, de tal suerte que se provoquen modificaciones apreciables en las corrientes normales de tráfico”.</w:t>
      </w:r>
    </w:p>
  </w:footnote>
  <w:footnote w:id="4">
    <w:p w:rsidR="006E572A" w:rsidRPr="0030192C" w:rsidRDefault="006E572A" w:rsidP="0030192C">
      <w:pPr>
        <w:spacing w:after="0" w:line="360" w:lineRule="auto"/>
        <w:jc w:val="both"/>
        <w:rPr>
          <w:rFonts w:ascii="Century" w:hAnsi="Century"/>
          <w:sz w:val="20"/>
          <w:szCs w:val="20"/>
        </w:rPr>
      </w:pPr>
      <w:r w:rsidRPr="0030192C">
        <w:rPr>
          <w:rStyle w:val="Refdenotaalpie"/>
          <w:rFonts w:ascii="Century" w:hAnsi="Century" w:cstheme="minorHAnsi"/>
          <w:sz w:val="20"/>
          <w:szCs w:val="20"/>
        </w:rPr>
        <w:footnoteRef/>
      </w:r>
      <w:r w:rsidRPr="0030192C">
        <w:rPr>
          <w:rFonts w:ascii="Century" w:hAnsi="Century"/>
          <w:sz w:val="20"/>
          <w:szCs w:val="20"/>
        </w:rPr>
        <w:t xml:space="preserve"> VALLEJO CHAMORRO, J.M y GUTIÉRREZ LOUSA, M</w:t>
      </w:r>
      <w:r w:rsidRPr="003B574E">
        <w:rPr>
          <w:rFonts w:cstheme="minorHAnsi"/>
          <w:sz w:val="20"/>
          <w:szCs w:val="20"/>
        </w:rPr>
        <w:t>:</w:t>
      </w:r>
      <w:r w:rsidRPr="0030192C">
        <w:rPr>
          <w:rFonts w:ascii="Century" w:hAnsi="Century"/>
          <w:sz w:val="20"/>
          <w:szCs w:val="20"/>
        </w:rPr>
        <w:t xml:space="preserve"> </w:t>
      </w:r>
      <w:r w:rsidRPr="0030192C">
        <w:rPr>
          <w:rFonts w:ascii="Century" w:hAnsi="Century"/>
          <w:i/>
          <w:sz w:val="20"/>
          <w:szCs w:val="20"/>
        </w:rPr>
        <w:t>Manual de Fiscalidad Internacional</w:t>
      </w:r>
      <w:r w:rsidRPr="003B574E">
        <w:rPr>
          <w:rFonts w:cstheme="minorHAnsi"/>
          <w:i/>
          <w:sz w:val="20"/>
          <w:szCs w:val="20"/>
        </w:rPr>
        <w:t>:</w:t>
      </w:r>
      <w:r w:rsidRPr="0030192C">
        <w:rPr>
          <w:rFonts w:ascii="Century" w:hAnsi="Century"/>
          <w:i/>
          <w:sz w:val="20"/>
          <w:szCs w:val="20"/>
        </w:rPr>
        <w:t xml:space="preserve"> Planificación Fiscal Internacional. 4ª edición</w:t>
      </w:r>
      <w:r w:rsidRPr="0030192C">
        <w:rPr>
          <w:rFonts w:ascii="Century" w:hAnsi="Century"/>
          <w:sz w:val="20"/>
          <w:szCs w:val="20"/>
        </w:rPr>
        <w:t>, Ed. Instituto de Estudios Fiscales, Madrid, 2016, p. 1188.</w:t>
      </w:r>
    </w:p>
  </w:footnote>
  <w:footnote w:id="5">
    <w:p w:rsidR="006E572A" w:rsidRPr="0030192C" w:rsidRDefault="006E572A" w:rsidP="0030192C">
      <w:pPr>
        <w:spacing w:after="0" w:line="360" w:lineRule="auto"/>
        <w:jc w:val="both"/>
        <w:rPr>
          <w:rFonts w:ascii="Century" w:hAnsi="Century"/>
          <w:i/>
          <w:iCs/>
          <w:sz w:val="20"/>
          <w:szCs w:val="20"/>
          <w:u w:val="single"/>
        </w:rPr>
      </w:pPr>
      <w:r w:rsidRPr="0030192C">
        <w:rPr>
          <w:rStyle w:val="Refdenotaalpie"/>
          <w:rFonts w:ascii="Century" w:hAnsi="Century" w:cstheme="minorHAnsi"/>
          <w:sz w:val="20"/>
          <w:szCs w:val="20"/>
        </w:rPr>
        <w:footnoteRef/>
      </w:r>
      <w:r w:rsidRPr="0030192C">
        <w:rPr>
          <w:rFonts w:ascii="Century" w:hAnsi="Century"/>
          <w:sz w:val="20"/>
          <w:szCs w:val="20"/>
        </w:rPr>
        <w:t xml:space="preserve"> CORDÓN EZQUERRO, T y GUTIÉRREZ LOUSA, M</w:t>
      </w:r>
      <w:r w:rsidRPr="003B574E">
        <w:rPr>
          <w:rFonts w:cstheme="minorHAnsi"/>
          <w:sz w:val="20"/>
          <w:szCs w:val="20"/>
        </w:rPr>
        <w:t>:</w:t>
      </w:r>
      <w:r w:rsidRPr="0030192C">
        <w:rPr>
          <w:rFonts w:ascii="Century" w:hAnsi="Century"/>
          <w:sz w:val="20"/>
          <w:szCs w:val="20"/>
        </w:rPr>
        <w:t xml:space="preserve"> “La política fiscal en la Unión Europea</w:t>
      </w:r>
      <w:r w:rsidRPr="003B574E">
        <w:rPr>
          <w:rFonts w:cstheme="minorHAnsi"/>
          <w:sz w:val="20"/>
          <w:szCs w:val="20"/>
        </w:rPr>
        <w:t>:</w:t>
      </w:r>
      <w:r w:rsidRPr="0030192C">
        <w:rPr>
          <w:rFonts w:ascii="Century" w:hAnsi="Century"/>
          <w:sz w:val="20"/>
          <w:szCs w:val="20"/>
        </w:rPr>
        <w:t xml:space="preserve"> ¿Convergencia o competencia?”, </w:t>
      </w:r>
      <w:r w:rsidRPr="0030192C">
        <w:rPr>
          <w:rFonts w:ascii="Century" w:hAnsi="Century"/>
          <w:i/>
          <w:sz w:val="20"/>
          <w:szCs w:val="20"/>
        </w:rPr>
        <w:t>CLM</w:t>
      </w:r>
      <w:r w:rsidRPr="0030192C">
        <w:rPr>
          <w:rFonts w:ascii="Century" w:hAnsi="Century"/>
          <w:sz w:val="20"/>
          <w:szCs w:val="20"/>
        </w:rPr>
        <w:t xml:space="preserve">, nº 9, 2006, p. 64. </w:t>
      </w:r>
      <w:hyperlink r:id="rId1" w:history="1">
        <w:r w:rsidRPr="0030192C">
          <w:rPr>
            <w:rStyle w:val="Hipervnculo"/>
            <w:rFonts w:ascii="Century" w:hAnsi="Century" w:cstheme="minorHAnsi"/>
            <w:i/>
            <w:color w:val="auto"/>
            <w:sz w:val="20"/>
            <w:szCs w:val="20"/>
          </w:rPr>
          <w:t>www.clmeconomia.jccm.es</w:t>
        </w:r>
      </w:hyperlink>
    </w:p>
  </w:footnote>
  <w:footnote w:id="6">
    <w:p w:rsidR="006E572A" w:rsidRPr="0030192C" w:rsidRDefault="006E572A" w:rsidP="003023AB">
      <w:pPr>
        <w:spacing w:after="0" w:line="360" w:lineRule="auto"/>
        <w:jc w:val="both"/>
      </w:pPr>
      <w:r w:rsidRPr="0030192C">
        <w:rPr>
          <w:rStyle w:val="Refdenotaalpie"/>
          <w:rFonts w:ascii="Century" w:hAnsi="Century" w:cstheme="minorHAnsi"/>
          <w:sz w:val="20"/>
          <w:szCs w:val="20"/>
        </w:rPr>
        <w:footnoteRef/>
      </w:r>
      <w:r w:rsidRPr="0030192C">
        <w:rPr>
          <w:rFonts w:ascii="Century" w:hAnsi="Century"/>
          <w:sz w:val="20"/>
          <w:szCs w:val="20"/>
        </w:rPr>
        <w:t xml:space="preserve"> GONZÁLEZ </w:t>
      </w:r>
      <w:proofErr w:type="spellStart"/>
      <w:r w:rsidRPr="0030192C">
        <w:rPr>
          <w:rFonts w:ascii="Century" w:hAnsi="Century"/>
          <w:sz w:val="20"/>
          <w:szCs w:val="20"/>
        </w:rPr>
        <w:t>GONZÁLEZ</w:t>
      </w:r>
      <w:proofErr w:type="spellEnd"/>
      <w:r w:rsidRPr="0030192C">
        <w:rPr>
          <w:rFonts w:ascii="Century" w:hAnsi="Century"/>
          <w:sz w:val="20"/>
          <w:szCs w:val="20"/>
        </w:rPr>
        <w:t>, A. I</w:t>
      </w:r>
      <w:r w:rsidRPr="003B574E">
        <w:rPr>
          <w:rFonts w:cstheme="minorHAnsi"/>
          <w:sz w:val="20"/>
          <w:szCs w:val="20"/>
        </w:rPr>
        <w:t>:</w:t>
      </w:r>
      <w:r w:rsidRPr="0030192C">
        <w:rPr>
          <w:rFonts w:ascii="Century" w:hAnsi="Century"/>
          <w:sz w:val="20"/>
          <w:szCs w:val="20"/>
        </w:rPr>
        <w:t xml:space="preserve"> “Armonización fiscal y aproximación de los sistemas fiscales”, </w:t>
      </w:r>
      <w:r w:rsidRPr="0030192C">
        <w:rPr>
          <w:rFonts w:ascii="Century" w:hAnsi="Century"/>
          <w:i/>
          <w:sz w:val="20"/>
          <w:szCs w:val="20"/>
        </w:rPr>
        <w:t>Cuadernos sobre integración europea fiscal y económica</w:t>
      </w:r>
      <w:r w:rsidRPr="0030192C">
        <w:rPr>
          <w:rFonts w:ascii="Century" w:hAnsi="Century"/>
          <w:sz w:val="20"/>
          <w:szCs w:val="20"/>
        </w:rPr>
        <w:t xml:space="preserve">, Ediciones de la Universidad de Oviedo, Oviedo, 2016, p. 52. </w:t>
      </w:r>
      <w:r w:rsidRPr="0030192C">
        <w:rPr>
          <w:rStyle w:val="CitaHTML"/>
          <w:rFonts w:ascii="Century" w:hAnsi="Century" w:cstheme="minorHAnsi"/>
          <w:sz w:val="20"/>
          <w:szCs w:val="20"/>
          <w:u w:val="single"/>
        </w:rPr>
        <w:t>digibuo.uniovi.es</w:t>
      </w:r>
    </w:p>
  </w:footnote>
  <w:footnote w:id="7">
    <w:p w:rsidR="006E572A" w:rsidRPr="0030192C" w:rsidRDefault="006E572A" w:rsidP="0030192C">
      <w:pPr>
        <w:spacing w:after="0" w:line="360" w:lineRule="auto"/>
        <w:jc w:val="both"/>
        <w:rPr>
          <w:rFonts w:ascii="Century" w:hAnsi="Century"/>
          <w:sz w:val="20"/>
          <w:szCs w:val="20"/>
        </w:rPr>
      </w:pPr>
      <w:r w:rsidRPr="0030192C">
        <w:rPr>
          <w:rStyle w:val="Refdenotaalpie"/>
          <w:rFonts w:ascii="Century" w:hAnsi="Century" w:cstheme="minorHAnsi"/>
          <w:sz w:val="20"/>
          <w:szCs w:val="20"/>
        </w:rPr>
        <w:footnoteRef/>
      </w:r>
      <w:r w:rsidRPr="0030192C">
        <w:rPr>
          <w:rFonts w:ascii="Century" w:hAnsi="Century"/>
          <w:sz w:val="20"/>
          <w:szCs w:val="20"/>
        </w:rPr>
        <w:t xml:space="preserve"> RIBES </w:t>
      </w:r>
      <w:proofErr w:type="spellStart"/>
      <w:r w:rsidRPr="0030192C">
        <w:rPr>
          <w:rFonts w:ascii="Century" w:hAnsi="Century"/>
          <w:sz w:val="20"/>
          <w:szCs w:val="20"/>
        </w:rPr>
        <w:t>RIBES</w:t>
      </w:r>
      <w:proofErr w:type="spellEnd"/>
      <w:r w:rsidRPr="0030192C">
        <w:rPr>
          <w:rFonts w:ascii="Century" w:hAnsi="Century"/>
          <w:sz w:val="20"/>
          <w:szCs w:val="20"/>
        </w:rPr>
        <w:t>, A</w:t>
      </w:r>
      <w:r w:rsidRPr="003B574E">
        <w:rPr>
          <w:rFonts w:cstheme="minorHAnsi"/>
          <w:sz w:val="20"/>
          <w:szCs w:val="20"/>
        </w:rPr>
        <w:t>:</w:t>
      </w:r>
      <w:r w:rsidRPr="0030192C">
        <w:rPr>
          <w:rFonts w:ascii="Century" w:hAnsi="Century"/>
          <w:sz w:val="20"/>
          <w:szCs w:val="20"/>
        </w:rPr>
        <w:t xml:space="preserve"> </w:t>
      </w:r>
      <w:r w:rsidRPr="0030192C">
        <w:rPr>
          <w:rFonts w:ascii="Century" w:hAnsi="Century"/>
          <w:i/>
          <w:sz w:val="20"/>
          <w:szCs w:val="20"/>
        </w:rPr>
        <w:t>Armonización versus coordinación fiscal</w:t>
      </w:r>
      <w:r w:rsidRPr="003B574E">
        <w:rPr>
          <w:rFonts w:cstheme="minorHAnsi"/>
          <w:i/>
          <w:sz w:val="20"/>
          <w:szCs w:val="20"/>
        </w:rPr>
        <w:t>:</w:t>
      </w:r>
      <w:r w:rsidRPr="0030192C">
        <w:rPr>
          <w:rFonts w:ascii="Century" w:hAnsi="Century"/>
          <w:i/>
          <w:sz w:val="20"/>
          <w:szCs w:val="20"/>
        </w:rPr>
        <w:t xml:space="preserve"> imposición sucesoria, patrimonial y </w:t>
      </w:r>
      <w:proofErr w:type="spellStart"/>
      <w:r w:rsidRPr="0030192C">
        <w:rPr>
          <w:rFonts w:ascii="Century" w:hAnsi="Century"/>
          <w:i/>
          <w:sz w:val="20"/>
          <w:szCs w:val="20"/>
        </w:rPr>
        <w:t>exit</w:t>
      </w:r>
      <w:proofErr w:type="spellEnd"/>
      <w:r w:rsidRPr="0030192C">
        <w:rPr>
          <w:rFonts w:ascii="Century" w:hAnsi="Century"/>
          <w:i/>
          <w:sz w:val="20"/>
          <w:szCs w:val="20"/>
        </w:rPr>
        <w:t xml:space="preserve"> </w:t>
      </w:r>
      <w:proofErr w:type="spellStart"/>
      <w:r w:rsidRPr="0030192C">
        <w:rPr>
          <w:rFonts w:ascii="Century" w:hAnsi="Century"/>
          <w:i/>
          <w:sz w:val="20"/>
          <w:szCs w:val="20"/>
        </w:rPr>
        <w:t>taxes</w:t>
      </w:r>
      <w:proofErr w:type="spellEnd"/>
      <w:r w:rsidRPr="0030192C">
        <w:rPr>
          <w:rFonts w:ascii="Century" w:hAnsi="Century"/>
          <w:sz w:val="20"/>
          <w:szCs w:val="20"/>
        </w:rPr>
        <w:t>, Ediciones de la Universidad de Oviedo, Oviedo, 2017, p. 196.</w:t>
      </w:r>
    </w:p>
  </w:footnote>
  <w:footnote w:id="8">
    <w:p w:rsidR="006E572A" w:rsidRPr="0030192C" w:rsidRDefault="006E572A" w:rsidP="003023AB">
      <w:pPr>
        <w:spacing w:after="0" w:line="360" w:lineRule="auto"/>
        <w:jc w:val="both"/>
      </w:pPr>
      <w:r w:rsidRPr="0030192C">
        <w:rPr>
          <w:rStyle w:val="Refdenotaalpie"/>
          <w:rFonts w:ascii="Century" w:hAnsi="Century" w:cstheme="minorHAnsi"/>
          <w:sz w:val="20"/>
          <w:szCs w:val="20"/>
        </w:rPr>
        <w:footnoteRef/>
      </w:r>
      <w:r w:rsidRPr="0030192C">
        <w:rPr>
          <w:rFonts w:ascii="Century" w:hAnsi="Century"/>
          <w:sz w:val="20"/>
          <w:szCs w:val="20"/>
        </w:rPr>
        <w:t xml:space="preserve"> RIBES </w:t>
      </w:r>
      <w:proofErr w:type="spellStart"/>
      <w:r w:rsidRPr="0030192C">
        <w:rPr>
          <w:rFonts w:ascii="Century" w:hAnsi="Century"/>
          <w:sz w:val="20"/>
          <w:szCs w:val="20"/>
        </w:rPr>
        <w:t>RIBES</w:t>
      </w:r>
      <w:proofErr w:type="spellEnd"/>
      <w:r w:rsidRPr="0030192C">
        <w:rPr>
          <w:rFonts w:ascii="Century" w:hAnsi="Century"/>
          <w:sz w:val="20"/>
          <w:szCs w:val="20"/>
        </w:rPr>
        <w:t>, A</w:t>
      </w:r>
      <w:r w:rsidRPr="003B574E">
        <w:rPr>
          <w:rFonts w:cstheme="minorHAnsi"/>
          <w:sz w:val="20"/>
          <w:szCs w:val="20"/>
        </w:rPr>
        <w:t>:</w:t>
      </w:r>
      <w:r w:rsidRPr="0030192C">
        <w:rPr>
          <w:rFonts w:ascii="Century" w:hAnsi="Century"/>
          <w:sz w:val="20"/>
          <w:szCs w:val="20"/>
        </w:rPr>
        <w:t xml:space="preserve"> </w:t>
      </w:r>
      <w:r w:rsidRPr="0030192C">
        <w:rPr>
          <w:rFonts w:ascii="Century" w:hAnsi="Century"/>
          <w:i/>
          <w:sz w:val="20"/>
          <w:szCs w:val="20"/>
        </w:rPr>
        <w:t>Normas armonizadoras en el Impuesto sobre Sucesiones y Donaciones.</w:t>
      </w:r>
      <w:r w:rsidRPr="0030192C">
        <w:rPr>
          <w:rFonts w:ascii="Century" w:hAnsi="Century"/>
          <w:sz w:val="20"/>
          <w:szCs w:val="20"/>
        </w:rPr>
        <w:t xml:space="preserve"> Ed. Thomson Reuters Aranzadi, Pamplona, 2013, p. 306.</w:t>
      </w:r>
    </w:p>
  </w:footnote>
  <w:footnote w:id="9">
    <w:p w:rsidR="006E572A" w:rsidRPr="0030192C" w:rsidRDefault="006E572A" w:rsidP="0030192C">
      <w:pPr>
        <w:pStyle w:val="Sinespaciado"/>
        <w:spacing w:line="360" w:lineRule="auto"/>
        <w:jc w:val="both"/>
        <w:rPr>
          <w:rFonts w:ascii="Century" w:hAnsi="Century" w:cstheme="minorHAnsi"/>
          <w:sz w:val="20"/>
          <w:szCs w:val="20"/>
        </w:rPr>
      </w:pPr>
      <w:r w:rsidRPr="0030192C">
        <w:rPr>
          <w:rStyle w:val="Refdenotaalpie"/>
          <w:rFonts w:ascii="Century" w:hAnsi="Century" w:cstheme="minorHAnsi"/>
          <w:sz w:val="20"/>
          <w:szCs w:val="20"/>
        </w:rPr>
        <w:footnoteRef/>
      </w:r>
      <w:r w:rsidRPr="0030192C">
        <w:rPr>
          <w:rFonts w:ascii="Century" w:hAnsi="Century" w:cstheme="minorHAnsi"/>
          <w:sz w:val="20"/>
          <w:szCs w:val="20"/>
        </w:rPr>
        <w:t xml:space="preserve"> La CEE fue una unión económica creada por el Tratado de Roma de 1957. Cuando en 1993 se forma la UE, la CEE se incorpora a ella y se pasa a denominar Comunidad Europea. Ésta existió hasta que fue abolida por el Tratado de Lisboa de 2009, pasando, por tanto, la UE a sustituir y suceder a la Comunidad Europea. La UE ha tratado de desarrollar un Mercado Común mediante un sistema de leyes que se aplica a todos los EM, garantizando la libre circulación de bienes, servicios, personas y capitales.</w:t>
      </w:r>
    </w:p>
  </w:footnote>
  <w:footnote w:id="10">
    <w:p w:rsidR="006E572A" w:rsidRPr="0030192C" w:rsidRDefault="006E572A" w:rsidP="0030192C">
      <w:pPr>
        <w:pStyle w:val="Sinespaciado"/>
        <w:spacing w:line="360" w:lineRule="auto"/>
        <w:jc w:val="both"/>
        <w:rPr>
          <w:rFonts w:ascii="Century" w:hAnsi="Century" w:cstheme="minorHAnsi"/>
          <w:sz w:val="20"/>
          <w:szCs w:val="20"/>
        </w:rPr>
      </w:pPr>
      <w:r w:rsidRPr="0030192C">
        <w:rPr>
          <w:rStyle w:val="Refdenotaalpie"/>
          <w:rFonts w:ascii="Century" w:hAnsi="Century" w:cstheme="minorHAnsi"/>
          <w:sz w:val="20"/>
          <w:szCs w:val="20"/>
        </w:rPr>
        <w:footnoteRef/>
      </w:r>
      <w:r w:rsidRPr="0030192C">
        <w:rPr>
          <w:rFonts w:ascii="Century" w:hAnsi="Century" w:cstheme="minorHAnsi"/>
          <w:sz w:val="20"/>
          <w:szCs w:val="20"/>
        </w:rPr>
        <w:t xml:space="preserve"> El TFUE entró en vigor el 1 de enero de 1958. Las referencias al articulado de la normativa a partir de ahora se efectuarán empleando la abreviatura art. </w:t>
      </w:r>
    </w:p>
  </w:footnote>
  <w:footnote w:id="11">
    <w:p w:rsidR="006E572A" w:rsidRPr="0030192C" w:rsidRDefault="006E572A" w:rsidP="00595DD9">
      <w:pPr>
        <w:pStyle w:val="Sinespaciado"/>
        <w:spacing w:line="360" w:lineRule="auto"/>
        <w:jc w:val="both"/>
        <w:rPr>
          <w:rFonts w:ascii="Century" w:hAnsi="Century" w:cstheme="minorHAnsi"/>
          <w:sz w:val="20"/>
          <w:szCs w:val="20"/>
        </w:rPr>
      </w:pPr>
      <w:r w:rsidRPr="0030192C">
        <w:rPr>
          <w:rStyle w:val="Refdenotaalpie"/>
          <w:rFonts w:ascii="Century" w:hAnsi="Century" w:cstheme="minorHAnsi"/>
          <w:sz w:val="20"/>
          <w:szCs w:val="20"/>
        </w:rPr>
        <w:footnoteRef/>
      </w:r>
      <w:r w:rsidRPr="0030192C">
        <w:rPr>
          <w:rFonts w:ascii="Century" w:hAnsi="Century" w:cstheme="minorHAnsi"/>
          <w:sz w:val="20"/>
          <w:szCs w:val="20"/>
        </w:rPr>
        <w:t xml:space="preserve"> CÁMARA BARROSO, M.C</w:t>
      </w:r>
      <w:r w:rsidRPr="003B574E">
        <w:rPr>
          <w:rFonts w:cstheme="minorHAnsi"/>
          <w:sz w:val="20"/>
          <w:szCs w:val="20"/>
        </w:rPr>
        <w:t>:</w:t>
      </w:r>
      <w:r w:rsidRPr="0030192C">
        <w:rPr>
          <w:rFonts w:ascii="Century" w:hAnsi="Century" w:cstheme="minorHAnsi"/>
          <w:sz w:val="20"/>
          <w:szCs w:val="20"/>
        </w:rPr>
        <w:t xml:space="preserve"> “Imposición indirecta, Unión Europea y </w:t>
      </w:r>
      <w:proofErr w:type="spellStart"/>
      <w:r w:rsidRPr="0030192C">
        <w:rPr>
          <w:rFonts w:ascii="Century" w:hAnsi="Century" w:cstheme="minorHAnsi"/>
          <w:sz w:val="20"/>
          <w:szCs w:val="20"/>
        </w:rPr>
        <w:t>extrafiscalidad</w:t>
      </w:r>
      <w:proofErr w:type="spellEnd"/>
      <w:r w:rsidRPr="0030192C">
        <w:rPr>
          <w:rFonts w:ascii="Century" w:hAnsi="Century" w:cstheme="minorHAnsi"/>
          <w:sz w:val="20"/>
          <w:szCs w:val="20"/>
        </w:rPr>
        <w:t xml:space="preserve">. El polémico “céntimo sanitario” español”, </w:t>
      </w:r>
      <w:r w:rsidRPr="0030192C">
        <w:rPr>
          <w:rFonts w:ascii="Century" w:hAnsi="Century" w:cstheme="minorHAnsi"/>
          <w:i/>
          <w:sz w:val="20"/>
          <w:szCs w:val="20"/>
        </w:rPr>
        <w:t>Quincena Fiscal</w:t>
      </w:r>
      <w:r w:rsidRPr="0030192C">
        <w:rPr>
          <w:rFonts w:ascii="Century" w:hAnsi="Century" w:cstheme="minorHAnsi"/>
          <w:sz w:val="20"/>
          <w:szCs w:val="20"/>
        </w:rPr>
        <w:t>, nº 21, 2014, pp. 1 - 4.</w:t>
      </w:r>
    </w:p>
  </w:footnote>
  <w:footnote w:id="12">
    <w:p w:rsidR="006E572A" w:rsidRPr="0030192C" w:rsidRDefault="006E572A" w:rsidP="0030192C">
      <w:pPr>
        <w:pStyle w:val="Sinespaciado"/>
        <w:spacing w:line="360" w:lineRule="auto"/>
        <w:jc w:val="both"/>
        <w:rPr>
          <w:rFonts w:ascii="Century" w:hAnsi="Century" w:cstheme="minorHAnsi"/>
          <w:sz w:val="20"/>
          <w:szCs w:val="20"/>
        </w:rPr>
      </w:pPr>
      <w:r w:rsidRPr="0030192C">
        <w:rPr>
          <w:rStyle w:val="Refdenotaalpie"/>
          <w:rFonts w:ascii="Century" w:hAnsi="Century" w:cstheme="minorHAnsi"/>
          <w:sz w:val="20"/>
          <w:szCs w:val="20"/>
        </w:rPr>
        <w:footnoteRef/>
      </w:r>
      <w:r w:rsidRPr="0030192C">
        <w:rPr>
          <w:rFonts w:ascii="Century" w:hAnsi="Century" w:cstheme="minorHAnsi"/>
          <w:sz w:val="20"/>
          <w:szCs w:val="20"/>
        </w:rPr>
        <w:t xml:space="preserve"> RIBES </w:t>
      </w:r>
      <w:proofErr w:type="spellStart"/>
      <w:r w:rsidRPr="0030192C">
        <w:rPr>
          <w:rFonts w:ascii="Century" w:hAnsi="Century" w:cstheme="minorHAnsi"/>
          <w:sz w:val="20"/>
          <w:szCs w:val="20"/>
        </w:rPr>
        <w:t>RIBES</w:t>
      </w:r>
      <w:proofErr w:type="spellEnd"/>
      <w:r w:rsidRPr="0030192C">
        <w:rPr>
          <w:rFonts w:ascii="Century" w:hAnsi="Century" w:cstheme="minorHAnsi"/>
          <w:sz w:val="20"/>
          <w:szCs w:val="20"/>
        </w:rPr>
        <w:t>, A</w:t>
      </w:r>
      <w:r w:rsidRPr="003B574E">
        <w:rPr>
          <w:rFonts w:cstheme="minorHAnsi"/>
          <w:sz w:val="20"/>
          <w:szCs w:val="20"/>
        </w:rPr>
        <w:t>:</w:t>
      </w:r>
      <w:r w:rsidRPr="0030192C">
        <w:rPr>
          <w:rFonts w:ascii="Century" w:hAnsi="Century" w:cstheme="minorHAnsi"/>
          <w:sz w:val="20"/>
          <w:szCs w:val="20"/>
        </w:rPr>
        <w:t xml:space="preserve"> </w:t>
      </w:r>
      <w:r w:rsidRPr="0030192C">
        <w:rPr>
          <w:rFonts w:ascii="Century" w:hAnsi="Century" w:cstheme="minorHAnsi"/>
          <w:i/>
          <w:sz w:val="20"/>
          <w:szCs w:val="20"/>
        </w:rPr>
        <w:t>Normas armonizadoras en el Impuesto sobre Sucesiones y Donaciones</w:t>
      </w:r>
      <w:r w:rsidRPr="0030192C">
        <w:rPr>
          <w:rFonts w:ascii="Century" w:hAnsi="Century" w:cstheme="minorHAnsi"/>
          <w:sz w:val="20"/>
          <w:szCs w:val="20"/>
        </w:rPr>
        <w:t xml:space="preserve">, </w:t>
      </w:r>
      <w:r w:rsidRPr="0030192C">
        <w:rPr>
          <w:rFonts w:ascii="Century" w:hAnsi="Century" w:cstheme="minorHAnsi"/>
          <w:i/>
          <w:sz w:val="20"/>
          <w:szCs w:val="20"/>
        </w:rPr>
        <w:t>ob. cit.,</w:t>
      </w:r>
      <w:r w:rsidRPr="0030192C">
        <w:rPr>
          <w:rFonts w:ascii="Century" w:hAnsi="Century" w:cstheme="minorHAnsi"/>
          <w:sz w:val="20"/>
          <w:szCs w:val="20"/>
        </w:rPr>
        <w:t xml:space="preserve"> p. 306.</w:t>
      </w:r>
    </w:p>
  </w:footnote>
  <w:footnote w:id="13">
    <w:p w:rsidR="006E572A" w:rsidRPr="0030192C" w:rsidRDefault="006E572A" w:rsidP="00595DD9">
      <w:pPr>
        <w:pStyle w:val="Sinespaciado"/>
        <w:spacing w:line="360" w:lineRule="auto"/>
        <w:jc w:val="both"/>
        <w:rPr>
          <w:rFonts w:ascii="Century" w:hAnsi="Century" w:cstheme="minorHAnsi"/>
          <w:sz w:val="20"/>
          <w:szCs w:val="20"/>
        </w:rPr>
      </w:pPr>
      <w:r w:rsidRPr="0030192C">
        <w:rPr>
          <w:rStyle w:val="Refdenotaalpie"/>
          <w:rFonts w:ascii="Century" w:hAnsi="Century" w:cstheme="minorHAnsi"/>
          <w:sz w:val="20"/>
          <w:szCs w:val="20"/>
        </w:rPr>
        <w:footnoteRef/>
      </w:r>
      <w:r w:rsidRPr="0030192C">
        <w:rPr>
          <w:rFonts w:ascii="Century" w:hAnsi="Century" w:cstheme="minorHAnsi"/>
          <w:sz w:val="20"/>
          <w:szCs w:val="20"/>
        </w:rPr>
        <w:t xml:space="preserve"> POZA CID, R y SANTAELLA VALLEJO, M</w:t>
      </w:r>
      <w:r w:rsidRPr="003B574E">
        <w:rPr>
          <w:rFonts w:cstheme="minorHAnsi"/>
          <w:sz w:val="20"/>
          <w:szCs w:val="20"/>
        </w:rPr>
        <w:t>:</w:t>
      </w:r>
      <w:r w:rsidRPr="0030192C">
        <w:rPr>
          <w:rFonts w:ascii="Century" w:hAnsi="Century" w:cstheme="minorHAnsi"/>
          <w:sz w:val="20"/>
          <w:szCs w:val="20"/>
        </w:rPr>
        <w:t xml:space="preserve"> “La coordinación de la fiscalidad directa en la Unión Europea”, </w:t>
      </w:r>
      <w:r w:rsidRPr="0030192C">
        <w:rPr>
          <w:rFonts w:ascii="Century" w:hAnsi="Century" w:cstheme="minorHAnsi"/>
          <w:i/>
          <w:sz w:val="20"/>
          <w:szCs w:val="20"/>
        </w:rPr>
        <w:t>Crónica Tributaria</w:t>
      </w:r>
      <w:r w:rsidRPr="0030192C">
        <w:rPr>
          <w:rFonts w:ascii="Century" w:hAnsi="Century" w:cstheme="minorHAnsi"/>
          <w:sz w:val="20"/>
          <w:szCs w:val="20"/>
        </w:rPr>
        <w:t>, nº 137, 2010, p. 200.</w:t>
      </w:r>
    </w:p>
  </w:footnote>
  <w:footnote w:id="14">
    <w:p w:rsidR="006E572A" w:rsidRPr="0030192C" w:rsidRDefault="006E572A" w:rsidP="0030192C">
      <w:pPr>
        <w:pStyle w:val="Sinespaciado"/>
        <w:spacing w:line="360" w:lineRule="auto"/>
        <w:jc w:val="both"/>
        <w:rPr>
          <w:rFonts w:ascii="Century" w:hAnsi="Century" w:cstheme="minorHAnsi"/>
          <w:sz w:val="20"/>
          <w:szCs w:val="20"/>
        </w:rPr>
      </w:pPr>
      <w:r w:rsidRPr="0030192C">
        <w:rPr>
          <w:rStyle w:val="Refdenotaalpie"/>
          <w:rFonts w:ascii="Century" w:hAnsi="Century" w:cstheme="minorHAnsi"/>
          <w:sz w:val="20"/>
          <w:szCs w:val="20"/>
        </w:rPr>
        <w:footnoteRef/>
      </w:r>
      <w:r w:rsidRPr="0030192C">
        <w:rPr>
          <w:rFonts w:ascii="Century" w:hAnsi="Century" w:cstheme="minorHAnsi"/>
          <w:sz w:val="20"/>
          <w:szCs w:val="20"/>
        </w:rPr>
        <w:t xml:space="preserve"> RIBES </w:t>
      </w:r>
      <w:proofErr w:type="spellStart"/>
      <w:r w:rsidRPr="0030192C">
        <w:rPr>
          <w:rFonts w:ascii="Century" w:hAnsi="Century" w:cstheme="minorHAnsi"/>
          <w:sz w:val="20"/>
          <w:szCs w:val="20"/>
        </w:rPr>
        <w:t>RIBES</w:t>
      </w:r>
      <w:proofErr w:type="spellEnd"/>
      <w:r w:rsidRPr="0030192C">
        <w:rPr>
          <w:rFonts w:ascii="Century" w:hAnsi="Century" w:cstheme="minorHAnsi"/>
          <w:sz w:val="20"/>
          <w:szCs w:val="20"/>
        </w:rPr>
        <w:t>, A</w:t>
      </w:r>
      <w:r w:rsidRPr="003B574E">
        <w:rPr>
          <w:rFonts w:cstheme="minorHAnsi"/>
          <w:sz w:val="20"/>
          <w:szCs w:val="20"/>
        </w:rPr>
        <w:t>:</w:t>
      </w:r>
      <w:r w:rsidRPr="0030192C">
        <w:rPr>
          <w:rFonts w:ascii="Century" w:hAnsi="Century" w:cstheme="minorHAnsi"/>
          <w:sz w:val="20"/>
          <w:szCs w:val="20"/>
        </w:rPr>
        <w:t xml:space="preserve"> </w:t>
      </w:r>
      <w:r w:rsidRPr="0030192C">
        <w:rPr>
          <w:rFonts w:ascii="Century" w:hAnsi="Century" w:cstheme="minorHAnsi"/>
          <w:i/>
          <w:sz w:val="20"/>
          <w:szCs w:val="20"/>
        </w:rPr>
        <w:t>Normas armonizadoras en el Impuesto sobre Sucesiones y Donaciones</w:t>
      </w:r>
      <w:r w:rsidRPr="0030192C">
        <w:rPr>
          <w:rFonts w:ascii="Century" w:hAnsi="Century" w:cstheme="minorHAnsi"/>
          <w:sz w:val="20"/>
          <w:szCs w:val="20"/>
        </w:rPr>
        <w:t xml:space="preserve">, </w:t>
      </w:r>
      <w:r w:rsidRPr="0030192C">
        <w:rPr>
          <w:rFonts w:ascii="Century" w:hAnsi="Century" w:cstheme="minorHAnsi"/>
          <w:i/>
          <w:sz w:val="20"/>
          <w:szCs w:val="20"/>
        </w:rPr>
        <w:t>ob. cit.</w:t>
      </w:r>
      <w:r w:rsidRPr="0030192C">
        <w:rPr>
          <w:rFonts w:ascii="Century" w:hAnsi="Century" w:cstheme="minorHAnsi"/>
          <w:sz w:val="20"/>
          <w:szCs w:val="20"/>
        </w:rPr>
        <w:t>, p. 196.</w:t>
      </w:r>
    </w:p>
    <w:p w:rsidR="006E572A" w:rsidRPr="0030192C" w:rsidRDefault="006E572A" w:rsidP="0030192C">
      <w:pPr>
        <w:pStyle w:val="Sinespaciado"/>
        <w:spacing w:line="360" w:lineRule="auto"/>
        <w:jc w:val="both"/>
        <w:rPr>
          <w:rFonts w:ascii="Century" w:hAnsi="Century" w:cstheme="minorHAnsi"/>
          <w:sz w:val="20"/>
          <w:szCs w:val="20"/>
        </w:rPr>
      </w:pPr>
      <w:r w:rsidRPr="0030192C">
        <w:rPr>
          <w:rFonts w:ascii="Century" w:hAnsi="Century" w:cstheme="minorHAnsi"/>
          <w:sz w:val="20"/>
          <w:szCs w:val="20"/>
        </w:rPr>
        <w:t>CUENCA GARCÍA, E, NAVARRO PABSDORF, M, MIHI RAMÍREZ, A, y BARRILAO, P.E</w:t>
      </w:r>
      <w:r w:rsidRPr="003B574E">
        <w:rPr>
          <w:rFonts w:cstheme="minorHAnsi"/>
          <w:sz w:val="20"/>
          <w:szCs w:val="20"/>
        </w:rPr>
        <w:t>:</w:t>
      </w:r>
      <w:r w:rsidRPr="0030192C">
        <w:rPr>
          <w:rFonts w:ascii="Century" w:hAnsi="Century" w:cstheme="minorHAnsi"/>
          <w:sz w:val="20"/>
          <w:szCs w:val="20"/>
        </w:rPr>
        <w:t xml:space="preserve"> “</w:t>
      </w:r>
      <w:r w:rsidRPr="0030192C">
        <w:rPr>
          <w:rFonts w:ascii="Century" w:hAnsi="Century" w:cstheme="minorHAnsi"/>
          <w:bCs/>
          <w:sz w:val="20"/>
          <w:szCs w:val="20"/>
        </w:rPr>
        <w:t xml:space="preserve">La armonización fiscal en la Unión Europea”. </w:t>
      </w:r>
      <w:r w:rsidRPr="0030192C">
        <w:rPr>
          <w:rFonts w:ascii="Century" w:hAnsi="Century" w:cstheme="minorHAnsi"/>
          <w:bCs/>
          <w:i/>
          <w:sz w:val="20"/>
          <w:szCs w:val="20"/>
        </w:rPr>
        <w:t>XIV Reunión de Economía Mundial</w:t>
      </w:r>
      <w:r w:rsidRPr="0030192C">
        <w:rPr>
          <w:rFonts w:ascii="Century" w:hAnsi="Century" w:cstheme="minorHAnsi"/>
          <w:bCs/>
          <w:sz w:val="20"/>
          <w:szCs w:val="20"/>
        </w:rPr>
        <w:t xml:space="preserve">, Universidad de Granada, Granada, 2011, pp. 1 y 2. </w:t>
      </w:r>
      <w:r w:rsidRPr="0030192C">
        <w:rPr>
          <w:rStyle w:val="CitaHTML"/>
          <w:rFonts w:ascii="Century" w:hAnsi="Century" w:cstheme="minorHAnsi"/>
          <w:sz w:val="20"/>
          <w:szCs w:val="20"/>
          <w:u w:val="single"/>
        </w:rPr>
        <w:t>xivrem.ujaen.es</w:t>
      </w:r>
      <w:r w:rsidRPr="003B574E">
        <w:rPr>
          <w:rStyle w:val="CitaHTML"/>
          <w:rFonts w:cstheme="minorHAnsi"/>
          <w:i w:val="0"/>
          <w:sz w:val="20"/>
          <w:szCs w:val="20"/>
        </w:rPr>
        <w:t>:</w:t>
      </w:r>
      <w:r w:rsidRPr="0030192C">
        <w:rPr>
          <w:rStyle w:val="CitaHTML"/>
          <w:rFonts w:ascii="Century" w:hAnsi="Century" w:cstheme="minorHAnsi"/>
          <w:i w:val="0"/>
          <w:sz w:val="20"/>
          <w:szCs w:val="20"/>
        </w:rPr>
        <w:t xml:space="preserve"> </w:t>
      </w:r>
      <w:r w:rsidRPr="0030192C">
        <w:rPr>
          <w:rFonts w:ascii="Century" w:hAnsi="Century" w:cstheme="minorHAnsi"/>
          <w:sz w:val="20"/>
          <w:szCs w:val="20"/>
        </w:rPr>
        <w:t>Tal y como hemos expuesto, otro de los instrumentos para evitar las distorsiones fiscales entre EM es el mecanismo de la competitividad lícita, pero controlada. En este sentido, la competencia fiscal entre ellos, se basa en acuerdos con el fin no de alcanzar una unificación, sino de reducir las diferencias entre los regímenes fiscales nacionales para facilitar el desarrollo de un mercado interior. No obstante, rara vez se adoptan acuerdos entre los EM debido a las dificultades para alcanzarlos, por lo que es necesario considerar otros mecanismos.</w:t>
      </w:r>
    </w:p>
  </w:footnote>
  <w:footnote w:id="15">
    <w:p w:rsidR="006E572A" w:rsidRPr="0030192C" w:rsidRDefault="006E572A" w:rsidP="00595DD9">
      <w:pPr>
        <w:pStyle w:val="Sinespaciado"/>
        <w:spacing w:line="360" w:lineRule="auto"/>
        <w:jc w:val="both"/>
        <w:rPr>
          <w:rFonts w:ascii="Century" w:hAnsi="Century" w:cstheme="minorHAnsi"/>
          <w:sz w:val="20"/>
          <w:szCs w:val="20"/>
        </w:rPr>
      </w:pPr>
      <w:r w:rsidRPr="0030192C">
        <w:rPr>
          <w:rStyle w:val="Refdenotaalpie"/>
          <w:rFonts w:ascii="Century" w:hAnsi="Century" w:cstheme="minorHAnsi"/>
          <w:sz w:val="20"/>
          <w:szCs w:val="20"/>
        </w:rPr>
        <w:footnoteRef/>
      </w:r>
      <w:r w:rsidRPr="0030192C">
        <w:rPr>
          <w:rFonts w:ascii="Century" w:hAnsi="Century" w:cstheme="minorHAnsi"/>
          <w:sz w:val="20"/>
          <w:szCs w:val="20"/>
        </w:rPr>
        <w:t xml:space="preserve"> Sentencia del Tribunal de Justicia de la Unión Europea (STJUE) de 12 de diciembre de 2013, asunto C-303/12</w:t>
      </w:r>
      <w:r w:rsidRPr="007F5B2E">
        <w:rPr>
          <w:rFonts w:cstheme="minorHAnsi"/>
          <w:sz w:val="20"/>
          <w:szCs w:val="20"/>
        </w:rPr>
        <w:t>;</w:t>
      </w:r>
      <w:r w:rsidRPr="0030192C">
        <w:rPr>
          <w:rFonts w:ascii="Century" w:hAnsi="Century" w:cstheme="minorHAnsi"/>
          <w:sz w:val="20"/>
          <w:szCs w:val="20"/>
        </w:rPr>
        <w:t xml:space="preserve"> STJUE de 11 de septiembre de 2014, asunto C-489/13.</w:t>
      </w:r>
    </w:p>
  </w:footnote>
  <w:footnote w:id="16">
    <w:p w:rsidR="006E572A" w:rsidRPr="0030192C" w:rsidRDefault="006E572A" w:rsidP="00595DD9">
      <w:pPr>
        <w:pStyle w:val="Sinespaciado"/>
        <w:spacing w:line="360" w:lineRule="auto"/>
        <w:jc w:val="both"/>
        <w:rPr>
          <w:rFonts w:ascii="Century" w:hAnsi="Century" w:cstheme="minorHAnsi"/>
          <w:sz w:val="20"/>
          <w:szCs w:val="20"/>
        </w:rPr>
      </w:pPr>
      <w:r w:rsidRPr="0030192C">
        <w:rPr>
          <w:rStyle w:val="Refdenotaalpie"/>
          <w:rFonts w:ascii="Century" w:hAnsi="Century" w:cstheme="minorHAnsi"/>
          <w:sz w:val="20"/>
          <w:szCs w:val="20"/>
        </w:rPr>
        <w:footnoteRef/>
      </w:r>
      <w:r w:rsidRPr="0030192C">
        <w:rPr>
          <w:rFonts w:ascii="Century" w:hAnsi="Century" w:cstheme="minorHAnsi"/>
          <w:sz w:val="20"/>
          <w:szCs w:val="20"/>
        </w:rPr>
        <w:t xml:space="preserve"> El TJCE pasó a convertirse en el TJUE a partir de su entrada en vigor el 1 de diciembre de 2009. </w:t>
      </w:r>
    </w:p>
  </w:footnote>
  <w:footnote w:id="17">
    <w:p w:rsidR="006E572A" w:rsidRPr="00664168" w:rsidRDefault="006E572A" w:rsidP="000B0BF0">
      <w:pPr>
        <w:spacing w:after="0" w:line="360" w:lineRule="auto"/>
        <w:jc w:val="both"/>
        <w:rPr>
          <w:rFonts w:ascii="Century" w:hAnsi="Century"/>
          <w:sz w:val="20"/>
          <w:szCs w:val="20"/>
        </w:rPr>
      </w:pPr>
      <w:r w:rsidRPr="00664168">
        <w:rPr>
          <w:rStyle w:val="Refdenotaalpie"/>
          <w:rFonts w:ascii="Century" w:hAnsi="Century" w:cstheme="minorHAnsi"/>
          <w:sz w:val="20"/>
          <w:szCs w:val="20"/>
        </w:rPr>
        <w:footnoteRef/>
      </w:r>
      <w:r w:rsidRPr="00664168">
        <w:rPr>
          <w:rFonts w:ascii="Century" w:hAnsi="Century"/>
          <w:sz w:val="20"/>
          <w:szCs w:val="20"/>
        </w:rPr>
        <w:t xml:space="preserve"> CUENCA GARCÍA, E, NAVARRO PABSDORF, M, MIHI RAMÍREZ, A, y BARRILAO, P.E</w:t>
      </w:r>
      <w:r w:rsidRPr="003B574E">
        <w:rPr>
          <w:rFonts w:cstheme="minorHAnsi"/>
          <w:sz w:val="20"/>
          <w:szCs w:val="20"/>
        </w:rPr>
        <w:t>:</w:t>
      </w:r>
      <w:r w:rsidRPr="00664168">
        <w:rPr>
          <w:rFonts w:ascii="Century" w:hAnsi="Century"/>
          <w:sz w:val="20"/>
          <w:szCs w:val="20"/>
        </w:rPr>
        <w:t xml:space="preserve"> “</w:t>
      </w:r>
      <w:r w:rsidRPr="00664168">
        <w:rPr>
          <w:rFonts w:ascii="Century" w:hAnsi="Century"/>
          <w:bCs/>
          <w:sz w:val="20"/>
          <w:szCs w:val="20"/>
        </w:rPr>
        <w:t xml:space="preserve">La armonización fiscal en la Unión Europea”, </w:t>
      </w:r>
      <w:r w:rsidRPr="00664168">
        <w:rPr>
          <w:rFonts w:ascii="Century" w:hAnsi="Century"/>
          <w:bCs/>
          <w:i/>
          <w:sz w:val="20"/>
          <w:szCs w:val="20"/>
        </w:rPr>
        <w:t>ob. cit.</w:t>
      </w:r>
      <w:r w:rsidRPr="00664168">
        <w:rPr>
          <w:rFonts w:ascii="Century" w:hAnsi="Century"/>
          <w:bCs/>
          <w:sz w:val="20"/>
          <w:szCs w:val="20"/>
        </w:rPr>
        <w:t>, p. 11.</w:t>
      </w:r>
    </w:p>
  </w:footnote>
  <w:footnote w:id="18">
    <w:p w:rsidR="006E572A" w:rsidRPr="0030192C" w:rsidRDefault="006E572A" w:rsidP="00595DD9">
      <w:pPr>
        <w:pStyle w:val="Sinespaciado"/>
        <w:spacing w:line="360" w:lineRule="auto"/>
        <w:jc w:val="both"/>
        <w:rPr>
          <w:rFonts w:ascii="Century" w:hAnsi="Century" w:cstheme="minorHAnsi"/>
          <w:sz w:val="20"/>
          <w:szCs w:val="20"/>
        </w:rPr>
      </w:pPr>
      <w:r w:rsidRPr="0030192C">
        <w:rPr>
          <w:rStyle w:val="Refdenotaalpie"/>
          <w:rFonts w:ascii="Century" w:hAnsi="Century" w:cstheme="minorHAnsi"/>
          <w:sz w:val="20"/>
          <w:szCs w:val="20"/>
        </w:rPr>
        <w:footnoteRef/>
      </w:r>
      <w:r w:rsidRPr="0030192C">
        <w:rPr>
          <w:rFonts w:ascii="Century" w:hAnsi="Century" w:cstheme="minorHAnsi"/>
          <w:sz w:val="20"/>
          <w:szCs w:val="20"/>
        </w:rPr>
        <w:t xml:space="preserve"> IGLESIAS CASAIS, J. M</w:t>
      </w:r>
      <w:r w:rsidRPr="003B574E">
        <w:rPr>
          <w:rFonts w:cstheme="minorHAnsi"/>
          <w:sz w:val="20"/>
          <w:szCs w:val="20"/>
        </w:rPr>
        <w:t>:</w:t>
      </w:r>
      <w:r w:rsidRPr="0030192C">
        <w:rPr>
          <w:rFonts w:ascii="Century" w:hAnsi="Century" w:cstheme="minorHAnsi"/>
          <w:sz w:val="20"/>
          <w:szCs w:val="20"/>
        </w:rPr>
        <w:t xml:space="preserve"> </w:t>
      </w:r>
      <w:r w:rsidRPr="0030192C">
        <w:rPr>
          <w:rFonts w:ascii="Century" w:hAnsi="Century" w:cstheme="minorHAnsi"/>
          <w:i/>
          <w:sz w:val="20"/>
          <w:szCs w:val="20"/>
        </w:rPr>
        <w:t>No discriminación fiscal y derecho de establecimiento en la Unión Europea</w:t>
      </w:r>
      <w:r w:rsidRPr="0030192C">
        <w:rPr>
          <w:rFonts w:ascii="Century" w:hAnsi="Century" w:cstheme="minorHAnsi"/>
          <w:sz w:val="20"/>
          <w:szCs w:val="20"/>
        </w:rPr>
        <w:t>, Ed. Aranzadi, SA, Pamplona, 2007, pp. 46 y 47.</w:t>
      </w:r>
    </w:p>
  </w:footnote>
  <w:footnote w:id="19">
    <w:p w:rsidR="006E572A" w:rsidRPr="00595DD9" w:rsidRDefault="006E572A" w:rsidP="00595DD9">
      <w:pPr>
        <w:spacing w:after="0" w:line="360" w:lineRule="auto"/>
        <w:jc w:val="both"/>
        <w:rPr>
          <w:rFonts w:ascii="Century" w:hAnsi="Century"/>
          <w:sz w:val="20"/>
          <w:szCs w:val="20"/>
        </w:rPr>
      </w:pPr>
      <w:r w:rsidRPr="00595DD9">
        <w:rPr>
          <w:rStyle w:val="Refdenotaalpie"/>
          <w:rFonts w:ascii="Century" w:eastAsiaTheme="minorHAnsi" w:hAnsi="Century" w:cstheme="minorHAnsi"/>
          <w:sz w:val="20"/>
          <w:szCs w:val="20"/>
        </w:rPr>
        <w:footnoteRef/>
      </w:r>
      <w:r w:rsidRPr="00595DD9">
        <w:rPr>
          <w:rFonts w:ascii="Century" w:hAnsi="Century"/>
          <w:sz w:val="20"/>
          <w:szCs w:val="20"/>
        </w:rPr>
        <w:t xml:space="preserve"> Referidos a continuación como Comunicación, Documento de Trabajo y Recomendación.</w:t>
      </w:r>
    </w:p>
  </w:footnote>
  <w:footnote w:id="20">
    <w:p w:rsidR="006E572A" w:rsidRPr="0030192C" w:rsidRDefault="006E572A" w:rsidP="000B0BF0">
      <w:pPr>
        <w:spacing w:after="0" w:line="360" w:lineRule="auto"/>
        <w:jc w:val="both"/>
      </w:pPr>
      <w:r w:rsidRPr="00595DD9">
        <w:rPr>
          <w:rStyle w:val="Refdenotaalpie"/>
          <w:rFonts w:ascii="Century" w:hAnsi="Century" w:cstheme="minorHAnsi"/>
          <w:sz w:val="20"/>
          <w:szCs w:val="20"/>
        </w:rPr>
        <w:footnoteRef/>
      </w:r>
      <w:r w:rsidRPr="00595DD9">
        <w:rPr>
          <w:rFonts w:ascii="Century" w:hAnsi="Century"/>
          <w:sz w:val="20"/>
          <w:szCs w:val="20"/>
        </w:rPr>
        <w:t xml:space="preserve"> Comunicación, p.3.</w:t>
      </w:r>
    </w:p>
  </w:footnote>
  <w:footnote w:id="21">
    <w:p w:rsidR="006E572A" w:rsidRPr="0030192C" w:rsidRDefault="006E572A" w:rsidP="0030192C">
      <w:pPr>
        <w:pStyle w:val="Sinespaciado"/>
        <w:spacing w:line="360" w:lineRule="auto"/>
        <w:jc w:val="both"/>
        <w:rPr>
          <w:rFonts w:ascii="Century" w:hAnsi="Century" w:cstheme="minorHAnsi"/>
          <w:sz w:val="20"/>
          <w:szCs w:val="20"/>
        </w:rPr>
      </w:pPr>
      <w:r w:rsidRPr="0030192C">
        <w:rPr>
          <w:rStyle w:val="Refdenotaalpie"/>
          <w:rFonts w:ascii="Century" w:hAnsi="Century" w:cstheme="minorHAnsi"/>
          <w:sz w:val="20"/>
          <w:szCs w:val="20"/>
        </w:rPr>
        <w:footnoteRef/>
      </w:r>
      <w:r w:rsidRPr="0030192C">
        <w:rPr>
          <w:rFonts w:ascii="Century" w:hAnsi="Century" w:cstheme="minorHAnsi"/>
          <w:sz w:val="20"/>
          <w:szCs w:val="20"/>
        </w:rPr>
        <w:t xml:space="preserve"> CRESPO NAVARRO, E</w:t>
      </w:r>
      <w:r w:rsidRPr="003B574E">
        <w:rPr>
          <w:rFonts w:cstheme="minorHAnsi"/>
          <w:sz w:val="20"/>
          <w:szCs w:val="20"/>
        </w:rPr>
        <w:t>:</w:t>
      </w:r>
      <w:r w:rsidRPr="0030192C">
        <w:rPr>
          <w:rFonts w:ascii="Century" w:hAnsi="Century" w:cstheme="minorHAnsi"/>
          <w:sz w:val="20"/>
          <w:szCs w:val="20"/>
        </w:rPr>
        <w:t xml:space="preserve"> “La jurisprudencia del TJCE en materia de ciudadanía de la Unión</w:t>
      </w:r>
      <w:r w:rsidRPr="003B574E">
        <w:rPr>
          <w:rFonts w:cstheme="minorHAnsi"/>
          <w:sz w:val="20"/>
          <w:szCs w:val="20"/>
        </w:rPr>
        <w:t>:</w:t>
      </w:r>
      <w:r w:rsidRPr="0030192C">
        <w:rPr>
          <w:rFonts w:ascii="Century" w:hAnsi="Century" w:cstheme="minorHAnsi"/>
          <w:sz w:val="20"/>
          <w:szCs w:val="20"/>
        </w:rPr>
        <w:t xml:space="preserve"> una interpretación generosa basada en la remisión al derecho nacional y en el principio de no discriminación por razón de la nacionalidad”, </w:t>
      </w:r>
      <w:r w:rsidRPr="0030192C">
        <w:rPr>
          <w:rFonts w:ascii="Century" w:hAnsi="Century" w:cstheme="minorHAnsi"/>
          <w:i/>
          <w:sz w:val="20"/>
          <w:szCs w:val="20"/>
        </w:rPr>
        <w:t>Revista de Derecho Comunitario Europeo</w:t>
      </w:r>
      <w:r w:rsidRPr="0030192C">
        <w:rPr>
          <w:rFonts w:ascii="Century" w:hAnsi="Century" w:cstheme="minorHAnsi"/>
          <w:sz w:val="20"/>
          <w:szCs w:val="20"/>
        </w:rPr>
        <w:t>, nº28, Madrid, 2007, p. 905.</w:t>
      </w:r>
    </w:p>
  </w:footnote>
  <w:footnote w:id="22">
    <w:p w:rsidR="006E572A" w:rsidRPr="0030192C" w:rsidRDefault="006E572A" w:rsidP="0030192C">
      <w:pPr>
        <w:pStyle w:val="Sinespaciado"/>
        <w:spacing w:line="360" w:lineRule="auto"/>
        <w:jc w:val="both"/>
        <w:rPr>
          <w:rFonts w:ascii="Century" w:hAnsi="Century" w:cstheme="minorHAnsi"/>
          <w:sz w:val="20"/>
          <w:szCs w:val="20"/>
        </w:rPr>
      </w:pPr>
      <w:r w:rsidRPr="0030192C">
        <w:rPr>
          <w:rStyle w:val="Refdenotaalpie"/>
          <w:rFonts w:ascii="Century" w:hAnsi="Century" w:cstheme="minorHAnsi"/>
          <w:sz w:val="20"/>
          <w:szCs w:val="20"/>
        </w:rPr>
        <w:footnoteRef/>
      </w:r>
      <w:r w:rsidRPr="0030192C">
        <w:rPr>
          <w:rFonts w:ascii="Century" w:hAnsi="Century" w:cstheme="minorHAnsi"/>
          <w:sz w:val="20"/>
          <w:szCs w:val="20"/>
        </w:rPr>
        <w:t xml:space="preserve"> IGLESIAS CASAIS, J. M</w:t>
      </w:r>
      <w:r w:rsidRPr="003B574E">
        <w:rPr>
          <w:rFonts w:cstheme="minorHAnsi"/>
          <w:sz w:val="20"/>
          <w:szCs w:val="20"/>
        </w:rPr>
        <w:t>:</w:t>
      </w:r>
      <w:r w:rsidRPr="0030192C">
        <w:rPr>
          <w:rFonts w:ascii="Century" w:hAnsi="Century" w:cstheme="minorHAnsi"/>
          <w:sz w:val="20"/>
          <w:szCs w:val="20"/>
        </w:rPr>
        <w:t xml:space="preserve"> </w:t>
      </w:r>
      <w:r w:rsidRPr="0030192C">
        <w:rPr>
          <w:rFonts w:ascii="Century" w:hAnsi="Century" w:cstheme="minorHAnsi"/>
          <w:i/>
          <w:sz w:val="20"/>
          <w:szCs w:val="20"/>
        </w:rPr>
        <w:t>No discriminación fiscal y derecho de establecimiento en la Unión Europea</w:t>
      </w:r>
      <w:r w:rsidRPr="0030192C">
        <w:rPr>
          <w:rFonts w:ascii="Century" w:hAnsi="Century" w:cstheme="minorHAnsi"/>
          <w:sz w:val="20"/>
          <w:szCs w:val="20"/>
        </w:rPr>
        <w:t xml:space="preserve">, </w:t>
      </w:r>
      <w:r w:rsidRPr="0030192C">
        <w:rPr>
          <w:rFonts w:ascii="Century" w:hAnsi="Century" w:cstheme="minorHAnsi"/>
          <w:i/>
          <w:sz w:val="20"/>
          <w:szCs w:val="20"/>
        </w:rPr>
        <w:t xml:space="preserve">ob. </w:t>
      </w:r>
      <w:proofErr w:type="spellStart"/>
      <w:r w:rsidRPr="0030192C">
        <w:rPr>
          <w:rFonts w:ascii="Century" w:hAnsi="Century" w:cstheme="minorHAnsi"/>
          <w:i/>
          <w:sz w:val="20"/>
          <w:szCs w:val="20"/>
        </w:rPr>
        <w:t>cit</w:t>
      </w:r>
      <w:proofErr w:type="spellEnd"/>
      <w:r w:rsidRPr="0030192C">
        <w:rPr>
          <w:rFonts w:ascii="Century" w:hAnsi="Century" w:cstheme="minorHAnsi"/>
          <w:sz w:val="20"/>
          <w:szCs w:val="20"/>
        </w:rPr>
        <w:t>, p. 65.</w:t>
      </w:r>
    </w:p>
  </w:footnote>
  <w:footnote w:id="23">
    <w:p w:rsidR="006E572A" w:rsidRPr="0030192C" w:rsidRDefault="006E572A" w:rsidP="00664168">
      <w:pPr>
        <w:pStyle w:val="Sinespaciado"/>
        <w:spacing w:line="360" w:lineRule="auto"/>
        <w:jc w:val="both"/>
        <w:rPr>
          <w:rFonts w:ascii="Century" w:hAnsi="Century" w:cstheme="minorHAnsi"/>
          <w:bCs/>
          <w:sz w:val="20"/>
          <w:szCs w:val="20"/>
        </w:rPr>
      </w:pPr>
      <w:r w:rsidRPr="0030192C">
        <w:rPr>
          <w:rStyle w:val="Refdenotaalpie"/>
          <w:rFonts w:ascii="Century" w:hAnsi="Century" w:cstheme="minorHAnsi"/>
          <w:sz w:val="20"/>
          <w:szCs w:val="20"/>
        </w:rPr>
        <w:footnoteRef/>
      </w:r>
      <w:r w:rsidRPr="0030192C">
        <w:rPr>
          <w:rFonts w:ascii="Century" w:hAnsi="Century" w:cstheme="minorHAnsi"/>
          <w:bCs/>
          <w:sz w:val="20"/>
          <w:szCs w:val="20"/>
        </w:rPr>
        <w:t xml:space="preserve"> RODRÍGUEZ ONDARZA, J. A</w:t>
      </w:r>
      <w:r w:rsidRPr="003B574E">
        <w:rPr>
          <w:rFonts w:cstheme="minorHAnsi"/>
          <w:bCs/>
          <w:sz w:val="20"/>
          <w:szCs w:val="20"/>
        </w:rPr>
        <w:t>:</w:t>
      </w:r>
      <w:r w:rsidRPr="0030192C">
        <w:rPr>
          <w:rFonts w:ascii="Century" w:hAnsi="Century" w:cstheme="minorHAnsi"/>
          <w:bCs/>
          <w:sz w:val="20"/>
          <w:szCs w:val="20"/>
        </w:rPr>
        <w:t xml:space="preserve"> “Los efectos de la fiscalidad en el marco de los convenios de doble imposición internacional</w:t>
      </w:r>
      <w:r w:rsidRPr="003B574E">
        <w:rPr>
          <w:rFonts w:cstheme="minorHAnsi"/>
          <w:bCs/>
          <w:sz w:val="20"/>
          <w:szCs w:val="20"/>
        </w:rPr>
        <w:t>:</w:t>
      </w:r>
      <w:r w:rsidRPr="0030192C">
        <w:rPr>
          <w:rFonts w:ascii="Century" w:hAnsi="Century" w:cstheme="minorHAnsi"/>
          <w:bCs/>
          <w:sz w:val="20"/>
          <w:szCs w:val="20"/>
        </w:rPr>
        <w:t xml:space="preserve"> análisis del caso español”. </w:t>
      </w:r>
      <w:r w:rsidRPr="0030192C">
        <w:rPr>
          <w:rFonts w:ascii="Century" w:hAnsi="Century" w:cstheme="minorHAnsi"/>
          <w:bCs/>
          <w:i/>
          <w:sz w:val="20"/>
          <w:szCs w:val="20"/>
        </w:rPr>
        <w:t>Instituto de Estudios Fiscales</w:t>
      </w:r>
      <w:r w:rsidRPr="0030192C">
        <w:rPr>
          <w:rFonts w:ascii="Century" w:hAnsi="Century" w:cstheme="minorHAnsi"/>
          <w:bCs/>
          <w:sz w:val="20"/>
          <w:szCs w:val="20"/>
        </w:rPr>
        <w:t>, nº3, Madrid, 1997, p. 154.</w:t>
      </w:r>
    </w:p>
  </w:footnote>
  <w:footnote w:id="24">
    <w:p w:rsidR="006E572A" w:rsidRPr="0030192C" w:rsidRDefault="006E572A" w:rsidP="0030192C">
      <w:pPr>
        <w:pStyle w:val="Sinespaciado"/>
        <w:spacing w:line="360" w:lineRule="auto"/>
        <w:jc w:val="both"/>
        <w:rPr>
          <w:rFonts w:ascii="Century" w:hAnsi="Century" w:cstheme="minorHAnsi"/>
          <w:sz w:val="20"/>
          <w:szCs w:val="20"/>
        </w:rPr>
      </w:pPr>
      <w:r w:rsidRPr="0030192C">
        <w:rPr>
          <w:rStyle w:val="Refdenotaalpie"/>
          <w:rFonts w:ascii="Century" w:hAnsi="Century" w:cstheme="minorHAnsi"/>
          <w:sz w:val="20"/>
          <w:szCs w:val="20"/>
        </w:rPr>
        <w:footnoteRef/>
      </w:r>
      <w:r w:rsidRPr="0030192C">
        <w:rPr>
          <w:rFonts w:ascii="Century" w:hAnsi="Century" w:cstheme="minorHAnsi"/>
          <w:sz w:val="20"/>
          <w:szCs w:val="20"/>
        </w:rPr>
        <w:t xml:space="preserve"> STJUE de 11 de diciembre de 2003, asunto C-364/01.</w:t>
      </w:r>
    </w:p>
  </w:footnote>
  <w:footnote w:id="25">
    <w:p w:rsidR="006E572A" w:rsidRPr="0030192C" w:rsidRDefault="006E572A" w:rsidP="00664168">
      <w:pPr>
        <w:pStyle w:val="Sinespaciado"/>
        <w:spacing w:line="360" w:lineRule="auto"/>
        <w:jc w:val="both"/>
        <w:rPr>
          <w:rFonts w:ascii="Century" w:hAnsi="Century" w:cstheme="minorHAnsi"/>
          <w:sz w:val="20"/>
          <w:szCs w:val="20"/>
        </w:rPr>
      </w:pPr>
      <w:r w:rsidRPr="0030192C">
        <w:rPr>
          <w:rStyle w:val="Refdenotaalpie"/>
          <w:rFonts w:ascii="Century" w:hAnsi="Century" w:cstheme="minorHAnsi"/>
          <w:sz w:val="20"/>
          <w:szCs w:val="20"/>
        </w:rPr>
        <w:footnoteRef/>
      </w:r>
      <w:r w:rsidRPr="0030192C">
        <w:rPr>
          <w:rFonts w:ascii="Century" w:hAnsi="Century" w:cstheme="minorHAnsi"/>
          <w:sz w:val="20"/>
          <w:szCs w:val="20"/>
        </w:rPr>
        <w:t xml:space="preserve"> STJUE de 15 de septiembre de 2011, asunto C-132/10</w:t>
      </w:r>
      <w:r w:rsidRPr="007F5B2E">
        <w:rPr>
          <w:rFonts w:cstheme="minorHAnsi"/>
          <w:sz w:val="20"/>
          <w:szCs w:val="20"/>
        </w:rPr>
        <w:t>;</w:t>
      </w:r>
      <w:r w:rsidRPr="0030192C">
        <w:rPr>
          <w:rFonts w:ascii="Century" w:hAnsi="Century" w:cstheme="minorHAnsi"/>
          <w:sz w:val="20"/>
          <w:szCs w:val="20"/>
        </w:rPr>
        <w:t xml:space="preserve"> STJUE de 17 de octubre de 2013, asunto C-181/12</w:t>
      </w:r>
      <w:r w:rsidRPr="007F5B2E">
        <w:rPr>
          <w:rFonts w:cstheme="minorHAnsi"/>
          <w:sz w:val="20"/>
          <w:szCs w:val="20"/>
        </w:rPr>
        <w:t>;</w:t>
      </w:r>
      <w:r w:rsidRPr="0030192C">
        <w:rPr>
          <w:rFonts w:ascii="Century" w:hAnsi="Century" w:cstheme="minorHAnsi"/>
          <w:sz w:val="20"/>
          <w:szCs w:val="20"/>
        </w:rPr>
        <w:t xml:space="preserve"> STJUE de 26 de mayo de 2016, asunto C-244/15</w:t>
      </w:r>
      <w:r w:rsidRPr="007F5B2E">
        <w:rPr>
          <w:rFonts w:cstheme="minorHAnsi"/>
          <w:sz w:val="20"/>
          <w:szCs w:val="20"/>
        </w:rPr>
        <w:t>;</w:t>
      </w:r>
      <w:r w:rsidRPr="0030192C">
        <w:rPr>
          <w:rFonts w:ascii="Century" w:hAnsi="Century" w:cstheme="minorHAnsi"/>
          <w:sz w:val="20"/>
          <w:szCs w:val="20"/>
        </w:rPr>
        <w:t xml:space="preserve"> STJUE de 18 de febrero de 2016, asunto C-479/14.</w:t>
      </w:r>
    </w:p>
  </w:footnote>
  <w:footnote w:id="26">
    <w:p w:rsidR="006E572A" w:rsidRPr="0030192C" w:rsidRDefault="006E572A" w:rsidP="00664168">
      <w:pPr>
        <w:pStyle w:val="Sinespaciado"/>
        <w:spacing w:line="360" w:lineRule="auto"/>
        <w:jc w:val="both"/>
        <w:rPr>
          <w:rFonts w:ascii="Century" w:hAnsi="Century" w:cstheme="minorHAnsi"/>
          <w:sz w:val="20"/>
          <w:szCs w:val="20"/>
        </w:rPr>
      </w:pPr>
      <w:r w:rsidRPr="0030192C">
        <w:rPr>
          <w:rStyle w:val="Refdenotaalpie"/>
          <w:rFonts w:ascii="Century" w:hAnsi="Century" w:cstheme="minorHAnsi"/>
          <w:sz w:val="20"/>
          <w:szCs w:val="20"/>
        </w:rPr>
        <w:footnoteRef/>
      </w:r>
      <w:r w:rsidRPr="0030192C">
        <w:rPr>
          <w:rFonts w:ascii="Century" w:hAnsi="Century" w:cstheme="minorHAnsi"/>
          <w:sz w:val="20"/>
          <w:szCs w:val="20"/>
        </w:rPr>
        <w:t xml:space="preserve"> Recomendación, pp. 83 y 84.</w:t>
      </w:r>
    </w:p>
  </w:footnote>
  <w:footnote w:id="27">
    <w:p w:rsidR="006E572A" w:rsidRPr="00664168" w:rsidRDefault="006E572A" w:rsidP="000B0BF0">
      <w:pPr>
        <w:spacing w:after="0" w:line="360" w:lineRule="auto"/>
        <w:jc w:val="both"/>
        <w:rPr>
          <w:rFonts w:ascii="Century" w:hAnsi="Century"/>
          <w:sz w:val="20"/>
          <w:szCs w:val="20"/>
        </w:rPr>
      </w:pPr>
      <w:r w:rsidRPr="00664168">
        <w:rPr>
          <w:rStyle w:val="Refdenotaalpie"/>
          <w:rFonts w:ascii="Century" w:hAnsi="Century" w:cstheme="minorHAnsi"/>
          <w:sz w:val="20"/>
          <w:szCs w:val="20"/>
        </w:rPr>
        <w:footnoteRef/>
      </w:r>
      <w:r w:rsidRPr="00664168">
        <w:rPr>
          <w:rFonts w:ascii="Century" w:hAnsi="Century"/>
          <w:sz w:val="20"/>
          <w:szCs w:val="20"/>
        </w:rPr>
        <w:t xml:space="preserve"> Comunicación, p. 8.</w:t>
      </w:r>
    </w:p>
  </w:footnote>
  <w:footnote w:id="28">
    <w:p w:rsidR="006E572A" w:rsidRPr="0030192C" w:rsidRDefault="006E572A" w:rsidP="000B0BF0">
      <w:pPr>
        <w:spacing w:after="0" w:line="360" w:lineRule="auto"/>
        <w:jc w:val="both"/>
      </w:pPr>
      <w:r w:rsidRPr="00664168">
        <w:rPr>
          <w:rStyle w:val="Refdenotaalpie"/>
          <w:rFonts w:ascii="Century" w:hAnsi="Century" w:cstheme="minorHAnsi"/>
          <w:sz w:val="20"/>
          <w:szCs w:val="20"/>
        </w:rPr>
        <w:footnoteRef/>
      </w:r>
      <w:r w:rsidRPr="00664168">
        <w:rPr>
          <w:rFonts w:ascii="Century" w:hAnsi="Century"/>
          <w:sz w:val="20"/>
          <w:szCs w:val="20"/>
        </w:rPr>
        <w:t xml:space="preserve"> VÍLCHEZ CUESTA, F</w:t>
      </w:r>
      <w:r w:rsidRPr="003B574E">
        <w:rPr>
          <w:rFonts w:cstheme="minorHAnsi"/>
          <w:sz w:val="20"/>
          <w:szCs w:val="20"/>
        </w:rPr>
        <w:t>:</w:t>
      </w:r>
      <w:r w:rsidRPr="00664168">
        <w:rPr>
          <w:rFonts w:ascii="Century" w:hAnsi="Century"/>
          <w:sz w:val="20"/>
          <w:szCs w:val="20"/>
        </w:rPr>
        <w:t xml:space="preserve"> “La jurisprudencia del Tribunal de Justicia de Luxemburgo como elemento de armonización fiscal”, </w:t>
      </w:r>
      <w:r w:rsidRPr="00664168">
        <w:rPr>
          <w:rFonts w:ascii="Century" w:hAnsi="Century"/>
          <w:i/>
          <w:sz w:val="20"/>
          <w:szCs w:val="20"/>
        </w:rPr>
        <w:t>Instituto de Estudios Fiscales</w:t>
      </w:r>
      <w:r w:rsidRPr="00664168">
        <w:rPr>
          <w:rFonts w:ascii="Century" w:hAnsi="Century"/>
          <w:sz w:val="20"/>
          <w:szCs w:val="20"/>
        </w:rPr>
        <w:t xml:space="preserve">, </w:t>
      </w:r>
      <w:r w:rsidRPr="00664168">
        <w:rPr>
          <w:rFonts w:ascii="Century" w:hAnsi="Century"/>
          <w:i/>
          <w:sz w:val="20"/>
          <w:szCs w:val="20"/>
        </w:rPr>
        <w:t>Cuadernos de Formación</w:t>
      </w:r>
      <w:r w:rsidRPr="00664168">
        <w:rPr>
          <w:rFonts w:ascii="Century" w:hAnsi="Century"/>
          <w:sz w:val="20"/>
          <w:szCs w:val="20"/>
        </w:rPr>
        <w:t xml:space="preserve"> vol. 7, Madrid, 2009, p. 159.</w:t>
      </w:r>
    </w:p>
  </w:footnote>
  <w:footnote w:id="29">
    <w:p w:rsidR="006E572A" w:rsidRPr="0030192C" w:rsidRDefault="006E572A" w:rsidP="008B219E">
      <w:pPr>
        <w:pStyle w:val="Sinespaciado"/>
        <w:spacing w:line="360" w:lineRule="auto"/>
        <w:jc w:val="both"/>
        <w:rPr>
          <w:rFonts w:ascii="Century" w:hAnsi="Century" w:cstheme="minorHAnsi"/>
          <w:sz w:val="20"/>
          <w:szCs w:val="20"/>
        </w:rPr>
      </w:pPr>
      <w:r w:rsidRPr="0030192C">
        <w:rPr>
          <w:rStyle w:val="Refdenotaalpie"/>
          <w:rFonts w:ascii="Century" w:hAnsi="Century" w:cstheme="minorHAnsi"/>
          <w:sz w:val="20"/>
          <w:szCs w:val="20"/>
        </w:rPr>
        <w:footnoteRef/>
      </w:r>
      <w:r w:rsidRPr="0030192C">
        <w:rPr>
          <w:rFonts w:ascii="Century" w:hAnsi="Century" w:cstheme="minorHAnsi"/>
          <w:sz w:val="20"/>
          <w:szCs w:val="20"/>
        </w:rPr>
        <w:t xml:space="preserve"> En este análisis, se comparan los datos recogidos en esta guía de los años 2014, 2015, 2016 y 2017, observando una escasa variación entre ellos. </w:t>
      </w:r>
    </w:p>
  </w:footnote>
  <w:footnote w:id="30">
    <w:p w:rsidR="006E572A" w:rsidRPr="0030192C" w:rsidRDefault="006E572A" w:rsidP="00915DCF">
      <w:pPr>
        <w:pStyle w:val="Sinespaciado"/>
        <w:spacing w:line="360" w:lineRule="auto"/>
        <w:jc w:val="both"/>
        <w:rPr>
          <w:rFonts w:ascii="Century" w:hAnsi="Century" w:cstheme="minorHAnsi"/>
          <w:sz w:val="20"/>
          <w:szCs w:val="20"/>
        </w:rPr>
      </w:pPr>
      <w:r w:rsidRPr="0030192C">
        <w:rPr>
          <w:rStyle w:val="Refdenotaalpie"/>
          <w:rFonts w:ascii="Century" w:hAnsi="Century" w:cstheme="minorHAnsi"/>
          <w:sz w:val="20"/>
          <w:szCs w:val="20"/>
        </w:rPr>
        <w:footnoteRef/>
      </w:r>
      <w:r w:rsidRPr="0030192C">
        <w:rPr>
          <w:rFonts w:ascii="Century" w:hAnsi="Century" w:cstheme="minorHAnsi"/>
          <w:sz w:val="20"/>
          <w:szCs w:val="20"/>
        </w:rPr>
        <w:t xml:space="preserve"> Se analiza la situación del cónyuge, descendientes y ascendientes por ser los parientes más próximos al causante.</w:t>
      </w:r>
    </w:p>
  </w:footnote>
  <w:footnote w:id="31">
    <w:p w:rsidR="006E572A" w:rsidRPr="00915DCF" w:rsidRDefault="006E572A" w:rsidP="00C45187">
      <w:pPr>
        <w:spacing w:after="0" w:line="360" w:lineRule="auto"/>
        <w:jc w:val="both"/>
        <w:rPr>
          <w:rFonts w:ascii="Century" w:hAnsi="Century"/>
          <w:sz w:val="20"/>
          <w:szCs w:val="20"/>
        </w:rPr>
      </w:pPr>
      <w:r w:rsidRPr="00915DCF">
        <w:rPr>
          <w:rStyle w:val="Refdenotaalpie"/>
          <w:rFonts w:ascii="Century" w:hAnsi="Century" w:cstheme="minorHAnsi"/>
          <w:sz w:val="20"/>
          <w:szCs w:val="20"/>
        </w:rPr>
        <w:footnoteRef/>
      </w:r>
      <w:r w:rsidRPr="00915DCF">
        <w:rPr>
          <w:rFonts w:ascii="Century" w:hAnsi="Century"/>
          <w:sz w:val="20"/>
          <w:szCs w:val="20"/>
        </w:rPr>
        <w:t xml:space="preserve"> MARTÍN ROMÁN, J y DEL BLANCO GARCÍA, Á</w:t>
      </w:r>
      <w:r w:rsidRPr="003B574E">
        <w:rPr>
          <w:rFonts w:cstheme="minorHAnsi"/>
          <w:sz w:val="20"/>
          <w:szCs w:val="20"/>
        </w:rPr>
        <w:t>:</w:t>
      </w:r>
      <w:r w:rsidRPr="00915DCF">
        <w:rPr>
          <w:rFonts w:ascii="Century" w:hAnsi="Century"/>
          <w:sz w:val="20"/>
          <w:szCs w:val="20"/>
        </w:rPr>
        <w:t xml:space="preserve"> “La problemática de las sucesiones transfronterizas en Europa”, </w:t>
      </w:r>
      <w:r w:rsidRPr="00915DCF">
        <w:rPr>
          <w:rFonts w:ascii="Century" w:hAnsi="Century"/>
          <w:i/>
          <w:sz w:val="20"/>
          <w:szCs w:val="20"/>
        </w:rPr>
        <w:t>Crónica Tributaria</w:t>
      </w:r>
      <w:r w:rsidRPr="00915DCF">
        <w:rPr>
          <w:rFonts w:ascii="Century" w:hAnsi="Century"/>
          <w:sz w:val="20"/>
          <w:szCs w:val="20"/>
        </w:rPr>
        <w:t xml:space="preserve">, nº 151, 2014, pp. 126 y 127. </w:t>
      </w:r>
    </w:p>
  </w:footnote>
  <w:footnote w:id="32">
    <w:p w:rsidR="006E572A" w:rsidRPr="0030192C" w:rsidRDefault="006E572A" w:rsidP="0030192C">
      <w:pPr>
        <w:pStyle w:val="Sinespaciado"/>
        <w:spacing w:line="360" w:lineRule="auto"/>
        <w:jc w:val="both"/>
        <w:rPr>
          <w:rFonts w:ascii="Century" w:hAnsi="Century" w:cstheme="minorHAnsi"/>
          <w:sz w:val="20"/>
          <w:szCs w:val="20"/>
        </w:rPr>
      </w:pPr>
      <w:r w:rsidRPr="0030192C">
        <w:rPr>
          <w:rStyle w:val="Refdenotaalpie"/>
          <w:rFonts w:ascii="Century" w:hAnsi="Century" w:cstheme="minorHAnsi"/>
          <w:sz w:val="20"/>
          <w:szCs w:val="20"/>
        </w:rPr>
        <w:footnoteRef/>
      </w:r>
      <w:r w:rsidRPr="0030192C">
        <w:rPr>
          <w:rFonts w:ascii="Century" w:hAnsi="Century" w:cstheme="minorHAnsi"/>
          <w:sz w:val="20"/>
          <w:szCs w:val="20"/>
        </w:rPr>
        <w:t xml:space="preserve"> Con respecto al análisis de Eslovaquia, Letonia y Rumanía, los datos son muy escasos. En Eslovaquia, el impuesto sobre las herencias fue suprimido el 1 de enero de 2004, no existiendo en Rumanía (fue abolido) y Letonia, tal y como recoge la </w:t>
      </w:r>
      <w:r w:rsidRPr="0030192C">
        <w:rPr>
          <w:rFonts w:ascii="Century" w:hAnsi="Century" w:cstheme="minorHAnsi"/>
          <w:i/>
          <w:sz w:val="20"/>
          <w:szCs w:val="20"/>
        </w:rPr>
        <w:t>Revista Tributaria Oficinas Liquidadoras</w:t>
      </w:r>
      <w:r w:rsidRPr="0030192C">
        <w:rPr>
          <w:rFonts w:ascii="Century" w:hAnsi="Century" w:cstheme="minorHAnsi"/>
          <w:sz w:val="20"/>
          <w:szCs w:val="20"/>
        </w:rPr>
        <w:t xml:space="preserve">, nº 33, 2011. </w:t>
      </w:r>
      <w:r w:rsidRPr="0030192C">
        <w:rPr>
          <w:rFonts w:ascii="Century" w:hAnsi="Century" w:cstheme="minorHAnsi"/>
          <w:i/>
          <w:sz w:val="20"/>
          <w:szCs w:val="20"/>
          <w:u w:val="single"/>
        </w:rPr>
        <w:t>www.registradorescantabria.com</w:t>
      </w:r>
    </w:p>
  </w:footnote>
  <w:footnote w:id="33">
    <w:p w:rsidR="006E572A" w:rsidRPr="0030192C" w:rsidRDefault="006E572A" w:rsidP="00915DCF">
      <w:pPr>
        <w:pStyle w:val="Sinespaciado"/>
        <w:spacing w:line="360" w:lineRule="auto"/>
        <w:jc w:val="both"/>
        <w:rPr>
          <w:rFonts w:ascii="Century" w:hAnsi="Century" w:cstheme="minorHAnsi"/>
          <w:sz w:val="20"/>
          <w:szCs w:val="20"/>
        </w:rPr>
      </w:pPr>
      <w:r w:rsidRPr="0030192C">
        <w:rPr>
          <w:rStyle w:val="Refdenotaalpie"/>
          <w:rFonts w:ascii="Century" w:hAnsi="Century" w:cstheme="minorHAnsi"/>
          <w:sz w:val="20"/>
          <w:szCs w:val="20"/>
        </w:rPr>
        <w:footnoteRef/>
      </w:r>
      <w:r w:rsidRPr="0030192C">
        <w:rPr>
          <w:rFonts w:ascii="Century" w:hAnsi="Century" w:cstheme="minorHAnsi"/>
          <w:sz w:val="20"/>
          <w:szCs w:val="20"/>
        </w:rPr>
        <w:t xml:space="preserve"> Es un estado federal descentralizado, pues se organiza en diferentes niveles de Estado</w:t>
      </w:r>
      <w:r w:rsidRPr="003B574E">
        <w:rPr>
          <w:rFonts w:cstheme="minorHAnsi"/>
          <w:sz w:val="20"/>
          <w:szCs w:val="20"/>
        </w:rPr>
        <w:t>:</w:t>
      </w:r>
      <w:r w:rsidRPr="0030192C">
        <w:rPr>
          <w:rFonts w:ascii="Century" w:hAnsi="Century" w:cstheme="minorHAnsi"/>
          <w:sz w:val="20"/>
          <w:szCs w:val="20"/>
        </w:rPr>
        <w:t xml:space="preserve"> el Estado federal (</w:t>
      </w:r>
      <w:r w:rsidRPr="0030192C">
        <w:rPr>
          <w:rFonts w:ascii="Century" w:hAnsi="Century" w:cstheme="minorHAnsi"/>
          <w:i/>
          <w:sz w:val="20"/>
          <w:szCs w:val="20"/>
        </w:rPr>
        <w:t>Bund</w:t>
      </w:r>
      <w:r w:rsidRPr="0030192C">
        <w:rPr>
          <w:rFonts w:ascii="Century" w:hAnsi="Century" w:cstheme="minorHAnsi"/>
          <w:sz w:val="20"/>
          <w:szCs w:val="20"/>
        </w:rPr>
        <w:t>), los estados o regiones federales (</w:t>
      </w:r>
      <w:proofErr w:type="spellStart"/>
      <w:r w:rsidRPr="0030192C">
        <w:rPr>
          <w:rFonts w:ascii="Century" w:hAnsi="Century" w:cstheme="minorHAnsi"/>
          <w:i/>
          <w:sz w:val="20"/>
          <w:szCs w:val="20"/>
        </w:rPr>
        <w:t>Länder</w:t>
      </w:r>
      <w:proofErr w:type="spellEnd"/>
      <w:r w:rsidRPr="0030192C">
        <w:rPr>
          <w:rFonts w:ascii="Century" w:hAnsi="Century" w:cstheme="minorHAnsi"/>
          <w:sz w:val="20"/>
          <w:szCs w:val="20"/>
        </w:rPr>
        <w:t>) y los municipios (</w:t>
      </w:r>
      <w:proofErr w:type="spellStart"/>
      <w:r w:rsidRPr="0030192C">
        <w:rPr>
          <w:rFonts w:ascii="Century" w:hAnsi="Century" w:cstheme="minorHAnsi"/>
          <w:i/>
          <w:sz w:val="20"/>
          <w:szCs w:val="20"/>
        </w:rPr>
        <w:t>Gemeinde</w:t>
      </w:r>
      <w:proofErr w:type="spellEnd"/>
      <w:r w:rsidRPr="0030192C">
        <w:rPr>
          <w:rFonts w:ascii="Century" w:hAnsi="Century" w:cstheme="minorHAnsi"/>
          <w:sz w:val="20"/>
          <w:szCs w:val="20"/>
        </w:rPr>
        <w:t>). El Régimen fiscal de las sucesiones en la República Federal de Alemania se asemeja a nuestro territorio español.</w:t>
      </w:r>
    </w:p>
  </w:footnote>
  <w:footnote w:id="34">
    <w:p w:rsidR="006E572A" w:rsidRPr="0030192C" w:rsidRDefault="006E572A" w:rsidP="007164CC">
      <w:pPr>
        <w:pStyle w:val="Sinespaciado"/>
        <w:spacing w:line="360" w:lineRule="auto"/>
        <w:jc w:val="both"/>
        <w:rPr>
          <w:rFonts w:ascii="Century" w:hAnsi="Century" w:cstheme="minorHAnsi"/>
          <w:color w:val="FF0000"/>
          <w:sz w:val="20"/>
          <w:szCs w:val="20"/>
        </w:rPr>
      </w:pPr>
      <w:r w:rsidRPr="0030192C">
        <w:rPr>
          <w:rStyle w:val="Refdenotaalpie"/>
          <w:rFonts w:ascii="Century" w:hAnsi="Century" w:cstheme="minorHAnsi"/>
          <w:sz w:val="20"/>
          <w:szCs w:val="20"/>
        </w:rPr>
        <w:footnoteRef/>
      </w:r>
      <w:r w:rsidRPr="0030192C">
        <w:rPr>
          <w:rFonts w:ascii="Century" w:hAnsi="Century" w:cstheme="minorHAnsi"/>
          <w:sz w:val="20"/>
          <w:szCs w:val="20"/>
        </w:rPr>
        <w:t xml:space="preserve"> Si convertimos estas cantidades en euros, sería 37.180 euros en 2017, 37.987 euros en 2016, 36.688 euros en 2015 y 36.151 euros en 2014.</w:t>
      </w:r>
      <w:r w:rsidRPr="0030192C">
        <w:rPr>
          <w:rFonts w:ascii="Century" w:hAnsi="Century" w:cstheme="minorHAnsi"/>
          <w:color w:val="FF0000"/>
          <w:sz w:val="20"/>
          <w:szCs w:val="20"/>
        </w:rPr>
        <w:t xml:space="preserve"> </w:t>
      </w:r>
    </w:p>
  </w:footnote>
  <w:footnote w:id="35">
    <w:p w:rsidR="006E572A" w:rsidRPr="003023AB" w:rsidRDefault="006E572A" w:rsidP="003023AB">
      <w:pPr>
        <w:spacing w:after="0" w:line="360" w:lineRule="auto"/>
        <w:jc w:val="both"/>
        <w:rPr>
          <w:rFonts w:ascii="Century" w:hAnsi="Century"/>
          <w:sz w:val="20"/>
          <w:szCs w:val="20"/>
        </w:rPr>
      </w:pPr>
      <w:r w:rsidRPr="003023AB">
        <w:rPr>
          <w:rStyle w:val="Refdenotaalpie"/>
          <w:rFonts w:ascii="Century" w:hAnsi="Century" w:cstheme="minorHAnsi"/>
          <w:sz w:val="20"/>
          <w:szCs w:val="20"/>
        </w:rPr>
        <w:footnoteRef/>
      </w:r>
      <w:r w:rsidRPr="003023AB">
        <w:rPr>
          <w:rFonts w:ascii="Century" w:hAnsi="Century"/>
          <w:sz w:val="20"/>
          <w:szCs w:val="20"/>
        </w:rPr>
        <w:t xml:space="preserve"> La STJCE de 11 de septiembre de 2008, asunto C-11/07 también se pronuncia sobre la vulneración del principio de libre circulación de capitales.</w:t>
      </w:r>
    </w:p>
  </w:footnote>
  <w:footnote w:id="36">
    <w:p w:rsidR="006E572A" w:rsidRPr="0030192C" w:rsidRDefault="006E572A" w:rsidP="003023AB">
      <w:pPr>
        <w:spacing w:after="0" w:line="360" w:lineRule="auto"/>
        <w:jc w:val="both"/>
      </w:pPr>
      <w:r w:rsidRPr="003023AB">
        <w:rPr>
          <w:rStyle w:val="Refdenotaalpie"/>
          <w:rFonts w:ascii="Century" w:hAnsi="Century" w:cstheme="minorHAnsi"/>
          <w:sz w:val="20"/>
          <w:szCs w:val="20"/>
        </w:rPr>
        <w:footnoteRef/>
      </w:r>
      <w:r w:rsidRPr="003023AB">
        <w:rPr>
          <w:rFonts w:ascii="Century" w:hAnsi="Century"/>
          <w:sz w:val="20"/>
          <w:szCs w:val="20"/>
        </w:rPr>
        <w:t xml:space="preserve"> El TJUE ha dictado varias sentencias con respecto al trato diferenciado entre residentes y no residentes establecido por Alemania. Entre otras, STJUE de 17 de enero de 2008, asunto C-256/06</w:t>
      </w:r>
      <w:r w:rsidRPr="007F5B2E">
        <w:rPr>
          <w:rFonts w:cstheme="minorHAnsi"/>
          <w:sz w:val="20"/>
          <w:szCs w:val="20"/>
        </w:rPr>
        <w:t>;</w:t>
      </w:r>
      <w:r w:rsidRPr="003023AB">
        <w:rPr>
          <w:rFonts w:ascii="Century" w:hAnsi="Century"/>
          <w:sz w:val="20"/>
          <w:szCs w:val="20"/>
        </w:rPr>
        <w:t xml:space="preserve"> STJUE de 22 de abril de 2010, asunto C-510/08</w:t>
      </w:r>
      <w:r w:rsidRPr="007F5B2E">
        <w:rPr>
          <w:rFonts w:cstheme="minorHAnsi"/>
          <w:sz w:val="20"/>
          <w:szCs w:val="20"/>
        </w:rPr>
        <w:t>;</w:t>
      </w:r>
      <w:r w:rsidRPr="003023AB">
        <w:rPr>
          <w:rFonts w:ascii="Century" w:hAnsi="Century"/>
          <w:sz w:val="20"/>
          <w:szCs w:val="20"/>
        </w:rPr>
        <w:t xml:space="preserve"> y STJUE de 17 de octubre de 2013, asunto C-181/12.</w:t>
      </w:r>
    </w:p>
  </w:footnote>
  <w:footnote w:id="37">
    <w:p w:rsidR="006E572A" w:rsidRPr="0030192C" w:rsidRDefault="006E572A" w:rsidP="0030192C">
      <w:pPr>
        <w:pStyle w:val="Sinespaciado"/>
        <w:spacing w:line="360" w:lineRule="auto"/>
        <w:jc w:val="both"/>
        <w:rPr>
          <w:rFonts w:ascii="Century" w:hAnsi="Century" w:cstheme="minorHAnsi"/>
          <w:sz w:val="20"/>
          <w:szCs w:val="20"/>
        </w:rPr>
      </w:pPr>
      <w:r w:rsidRPr="0030192C">
        <w:rPr>
          <w:rStyle w:val="Refdenotaalpie"/>
          <w:rFonts w:ascii="Century" w:hAnsi="Century" w:cstheme="minorHAnsi"/>
          <w:sz w:val="20"/>
          <w:szCs w:val="20"/>
        </w:rPr>
        <w:footnoteRef/>
      </w:r>
      <w:r w:rsidRPr="0030192C">
        <w:rPr>
          <w:rFonts w:ascii="Century" w:hAnsi="Century" w:cstheme="minorHAnsi"/>
          <w:sz w:val="20"/>
          <w:szCs w:val="20"/>
        </w:rPr>
        <w:t xml:space="preserve"> La actual Ley de Cesión sustituye a la derogada Ley 21/2001. </w:t>
      </w:r>
      <w:r w:rsidRPr="0030192C">
        <w:rPr>
          <w:rFonts w:ascii="Century" w:eastAsia="Times New Roman" w:hAnsi="Century" w:cstheme="minorHAnsi"/>
          <w:bCs/>
          <w:sz w:val="20"/>
          <w:szCs w:val="20"/>
        </w:rPr>
        <w:t>En la actualidad, la Ley de Cesión junto con la LOFCA, constituyen el marco legislativo aplicable a las CCAA de derecho común.</w:t>
      </w:r>
    </w:p>
  </w:footnote>
  <w:footnote w:id="38">
    <w:p w:rsidR="006E572A" w:rsidRPr="0030192C" w:rsidRDefault="006E572A" w:rsidP="0030192C">
      <w:pPr>
        <w:pStyle w:val="Sinespaciado"/>
        <w:spacing w:line="360" w:lineRule="auto"/>
        <w:jc w:val="both"/>
        <w:rPr>
          <w:rFonts w:ascii="Century" w:hAnsi="Century" w:cstheme="minorHAnsi"/>
          <w:color w:val="000000"/>
          <w:sz w:val="20"/>
          <w:szCs w:val="20"/>
        </w:rPr>
      </w:pPr>
      <w:r w:rsidRPr="0030192C">
        <w:rPr>
          <w:rStyle w:val="Refdenotaalpie"/>
          <w:rFonts w:ascii="Century" w:hAnsi="Century" w:cstheme="minorHAnsi"/>
          <w:sz w:val="20"/>
          <w:szCs w:val="20"/>
        </w:rPr>
        <w:footnoteRef/>
      </w:r>
      <w:r w:rsidRPr="0030192C">
        <w:rPr>
          <w:rFonts w:ascii="Century" w:hAnsi="Century" w:cstheme="minorHAnsi"/>
          <w:sz w:val="20"/>
          <w:szCs w:val="20"/>
        </w:rPr>
        <w:t xml:space="preserve"> ÁLVAREZ GARCÍA, S, APARICIO PÉREZ, A y GONZÁLEZ </w:t>
      </w:r>
      <w:proofErr w:type="spellStart"/>
      <w:r w:rsidRPr="0030192C">
        <w:rPr>
          <w:rFonts w:ascii="Century" w:hAnsi="Century" w:cstheme="minorHAnsi"/>
          <w:sz w:val="20"/>
          <w:szCs w:val="20"/>
        </w:rPr>
        <w:t>GONZÁLEZ</w:t>
      </w:r>
      <w:proofErr w:type="spellEnd"/>
      <w:r w:rsidRPr="0030192C">
        <w:rPr>
          <w:rFonts w:ascii="Century" w:hAnsi="Century" w:cstheme="minorHAnsi"/>
          <w:sz w:val="20"/>
          <w:szCs w:val="20"/>
        </w:rPr>
        <w:t>, A. I</w:t>
      </w:r>
      <w:r w:rsidRPr="003B574E">
        <w:rPr>
          <w:rFonts w:cstheme="minorHAnsi"/>
          <w:sz w:val="20"/>
          <w:szCs w:val="20"/>
        </w:rPr>
        <w:t>:</w:t>
      </w:r>
      <w:r w:rsidRPr="0030192C">
        <w:rPr>
          <w:rFonts w:ascii="Century" w:hAnsi="Century" w:cstheme="minorHAnsi"/>
          <w:sz w:val="20"/>
          <w:szCs w:val="20"/>
        </w:rPr>
        <w:t xml:space="preserve"> “La autonomía tributaria de las Comunidades Autónomas de Régimen Común”. </w:t>
      </w:r>
      <w:r w:rsidRPr="0030192C">
        <w:rPr>
          <w:rFonts w:ascii="Century" w:hAnsi="Century" w:cstheme="minorHAnsi"/>
          <w:i/>
          <w:sz w:val="20"/>
          <w:szCs w:val="20"/>
        </w:rPr>
        <w:t>Instituto de Estudios Fiscales</w:t>
      </w:r>
      <w:r w:rsidRPr="0030192C">
        <w:rPr>
          <w:rFonts w:ascii="Century" w:hAnsi="Century" w:cstheme="minorHAnsi"/>
          <w:sz w:val="20"/>
          <w:szCs w:val="20"/>
        </w:rPr>
        <w:t>, nº 20, 2004, p. 21.</w:t>
      </w:r>
    </w:p>
  </w:footnote>
  <w:footnote w:id="39">
    <w:p w:rsidR="006E572A" w:rsidRPr="0030192C" w:rsidRDefault="006E572A" w:rsidP="0030192C">
      <w:pPr>
        <w:pStyle w:val="Sinespaciado"/>
        <w:spacing w:line="360" w:lineRule="auto"/>
        <w:jc w:val="both"/>
        <w:rPr>
          <w:rFonts w:ascii="Century" w:hAnsi="Century" w:cstheme="minorHAnsi"/>
          <w:sz w:val="20"/>
          <w:szCs w:val="20"/>
        </w:rPr>
      </w:pPr>
      <w:r w:rsidRPr="0030192C">
        <w:rPr>
          <w:rStyle w:val="Refdenotaalpie"/>
          <w:rFonts w:ascii="Century" w:hAnsi="Century" w:cstheme="minorHAnsi"/>
          <w:sz w:val="20"/>
          <w:szCs w:val="20"/>
        </w:rPr>
        <w:footnoteRef/>
      </w:r>
      <w:r w:rsidRPr="0030192C">
        <w:rPr>
          <w:rFonts w:ascii="Century" w:hAnsi="Century" w:cstheme="minorHAnsi"/>
          <w:sz w:val="20"/>
          <w:szCs w:val="20"/>
        </w:rPr>
        <w:t xml:space="preserve"> LAGO MONTERO, J.M</w:t>
      </w:r>
      <w:r w:rsidRPr="003B574E">
        <w:rPr>
          <w:rFonts w:cstheme="minorHAnsi"/>
          <w:sz w:val="20"/>
          <w:szCs w:val="20"/>
        </w:rPr>
        <w:t>:</w:t>
      </w:r>
      <w:r w:rsidRPr="0030192C">
        <w:rPr>
          <w:rFonts w:ascii="Century" w:hAnsi="Century" w:cstheme="minorHAnsi"/>
          <w:sz w:val="20"/>
          <w:szCs w:val="20"/>
        </w:rPr>
        <w:t xml:space="preserve"> </w:t>
      </w:r>
      <w:r w:rsidRPr="0030192C">
        <w:rPr>
          <w:rFonts w:ascii="Century" w:hAnsi="Century" w:cstheme="minorHAnsi"/>
          <w:i/>
          <w:sz w:val="20"/>
          <w:szCs w:val="20"/>
        </w:rPr>
        <w:t>El poder tributario de las Comunidades Autónomas</w:t>
      </w:r>
      <w:r w:rsidRPr="0030192C">
        <w:rPr>
          <w:rFonts w:ascii="Century" w:hAnsi="Century" w:cstheme="minorHAnsi"/>
          <w:sz w:val="20"/>
          <w:szCs w:val="20"/>
        </w:rPr>
        <w:t>. Ed. Aranzadi, Navarra, 2000, p. 40.</w:t>
      </w:r>
    </w:p>
  </w:footnote>
  <w:footnote w:id="40">
    <w:p w:rsidR="006E572A" w:rsidRPr="00D4689E" w:rsidRDefault="006E572A" w:rsidP="00574C0A">
      <w:pPr>
        <w:spacing w:after="0" w:line="360" w:lineRule="auto"/>
        <w:jc w:val="both"/>
        <w:rPr>
          <w:rFonts w:ascii="Century" w:hAnsi="Century"/>
          <w:sz w:val="20"/>
          <w:szCs w:val="20"/>
        </w:rPr>
      </w:pPr>
      <w:r w:rsidRPr="00D4689E">
        <w:rPr>
          <w:rStyle w:val="Refdenotaalpie"/>
          <w:rFonts w:ascii="Century" w:hAnsi="Century" w:cstheme="minorHAnsi"/>
          <w:sz w:val="20"/>
          <w:szCs w:val="20"/>
        </w:rPr>
        <w:footnoteRef/>
      </w:r>
      <w:r w:rsidRPr="00D4689E">
        <w:rPr>
          <w:rFonts w:ascii="Century" w:hAnsi="Century"/>
          <w:sz w:val="20"/>
          <w:szCs w:val="20"/>
        </w:rPr>
        <w:t xml:space="preserve"> Respecto a esta cuestión, véase </w:t>
      </w:r>
      <w:r w:rsidRPr="00D4689E">
        <w:rPr>
          <w:rFonts w:ascii="Century" w:hAnsi="Century"/>
          <w:bCs/>
          <w:color w:val="000000"/>
          <w:sz w:val="20"/>
          <w:szCs w:val="20"/>
        </w:rPr>
        <w:t>BARBERENA BELZUNCE, I y MENÉNDEZ GARCÍA, G</w:t>
      </w:r>
      <w:r w:rsidRPr="003B574E">
        <w:rPr>
          <w:rFonts w:cstheme="minorHAnsi"/>
          <w:bCs/>
          <w:color w:val="000000"/>
          <w:sz w:val="20"/>
          <w:szCs w:val="20"/>
        </w:rPr>
        <w:t>:</w:t>
      </w:r>
      <w:r w:rsidRPr="00D4689E">
        <w:rPr>
          <w:rFonts w:ascii="Century" w:hAnsi="Century"/>
          <w:bCs/>
          <w:color w:val="000000"/>
          <w:sz w:val="20"/>
          <w:szCs w:val="20"/>
        </w:rPr>
        <w:t xml:space="preserve"> “</w:t>
      </w:r>
      <w:r w:rsidRPr="00D4689E">
        <w:rPr>
          <w:rFonts w:ascii="Century" w:hAnsi="Century"/>
          <w:sz w:val="20"/>
          <w:szCs w:val="20"/>
        </w:rPr>
        <w:t xml:space="preserve">Los tributos de las Comunidades Autónomas”, Ed. Aranzadi, online, 2015, pp. 18 -24. </w:t>
      </w:r>
    </w:p>
  </w:footnote>
  <w:footnote w:id="41">
    <w:p w:rsidR="006E572A" w:rsidRPr="0030192C" w:rsidRDefault="006E572A" w:rsidP="0030192C">
      <w:pPr>
        <w:pStyle w:val="Sinespaciado"/>
        <w:spacing w:line="360" w:lineRule="auto"/>
        <w:jc w:val="both"/>
        <w:rPr>
          <w:rFonts w:ascii="Century" w:hAnsi="Century" w:cstheme="minorHAnsi"/>
          <w:b/>
          <w:bCs/>
          <w:color w:val="CCCCCC"/>
          <w:sz w:val="20"/>
          <w:szCs w:val="20"/>
        </w:rPr>
      </w:pPr>
      <w:r w:rsidRPr="0030192C">
        <w:rPr>
          <w:rStyle w:val="Refdenotaalpie"/>
          <w:rFonts w:ascii="Century" w:hAnsi="Century" w:cstheme="minorHAnsi"/>
          <w:sz w:val="20"/>
          <w:szCs w:val="20"/>
        </w:rPr>
        <w:footnoteRef/>
      </w:r>
      <w:r w:rsidRPr="0030192C">
        <w:rPr>
          <w:rFonts w:ascii="Century" w:hAnsi="Century" w:cstheme="minorHAnsi"/>
          <w:sz w:val="20"/>
          <w:szCs w:val="20"/>
        </w:rPr>
        <w:t xml:space="preserve"> BARBERENA BELZUNCE, I y MENÉNDEZ GARCÍA, G</w:t>
      </w:r>
      <w:r w:rsidRPr="003B574E">
        <w:rPr>
          <w:rFonts w:cstheme="minorHAnsi"/>
          <w:sz w:val="20"/>
          <w:szCs w:val="20"/>
        </w:rPr>
        <w:t>:</w:t>
      </w:r>
      <w:r w:rsidRPr="0030192C">
        <w:rPr>
          <w:rFonts w:ascii="Century" w:hAnsi="Century" w:cstheme="minorHAnsi"/>
          <w:sz w:val="20"/>
          <w:szCs w:val="20"/>
        </w:rPr>
        <w:t xml:space="preserve"> “</w:t>
      </w:r>
      <w:r w:rsidRPr="0030192C">
        <w:rPr>
          <w:rFonts w:ascii="Century" w:hAnsi="Century" w:cstheme="minorHAnsi"/>
          <w:bCs/>
          <w:sz w:val="20"/>
          <w:szCs w:val="20"/>
        </w:rPr>
        <w:t xml:space="preserve">Los tributos de las Comunidades Autónomas”, </w:t>
      </w:r>
      <w:r w:rsidRPr="0030192C">
        <w:rPr>
          <w:rFonts w:ascii="Century" w:hAnsi="Century" w:cstheme="minorHAnsi"/>
          <w:bCs/>
          <w:i/>
          <w:sz w:val="20"/>
          <w:szCs w:val="20"/>
        </w:rPr>
        <w:t>ob. cit.</w:t>
      </w:r>
      <w:r w:rsidRPr="0030192C">
        <w:rPr>
          <w:rFonts w:ascii="Century" w:hAnsi="Century" w:cstheme="minorHAnsi"/>
          <w:bCs/>
          <w:sz w:val="20"/>
          <w:szCs w:val="20"/>
        </w:rPr>
        <w:t>, pp. 1 y 2.</w:t>
      </w:r>
    </w:p>
  </w:footnote>
  <w:footnote w:id="42">
    <w:p w:rsidR="006E572A" w:rsidRPr="0030192C" w:rsidRDefault="006E572A" w:rsidP="0030192C">
      <w:pPr>
        <w:pStyle w:val="Sinespaciado"/>
        <w:spacing w:line="360" w:lineRule="auto"/>
        <w:jc w:val="both"/>
        <w:rPr>
          <w:rFonts w:ascii="Century" w:hAnsi="Century" w:cstheme="minorHAnsi"/>
          <w:sz w:val="20"/>
          <w:szCs w:val="20"/>
        </w:rPr>
      </w:pPr>
      <w:r w:rsidRPr="0030192C">
        <w:rPr>
          <w:rStyle w:val="Refdenotaalpie"/>
          <w:rFonts w:ascii="Century" w:hAnsi="Century" w:cstheme="minorHAnsi"/>
          <w:sz w:val="20"/>
          <w:szCs w:val="20"/>
        </w:rPr>
        <w:footnoteRef/>
      </w:r>
      <w:r w:rsidRPr="0030192C">
        <w:rPr>
          <w:rFonts w:ascii="Century" w:hAnsi="Century" w:cstheme="minorHAnsi"/>
          <w:sz w:val="20"/>
          <w:szCs w:val="20"/>
        </w:rPr>
        <w:t xml:space="preserve"> DE LA PEÑA AMORÓS, Mª M</w:t>
      </w:r>
      <w:r w:rsidRPr="003B574E">
        <w:rPr>
          <w:rFonts w:cstheme="minorHAnsi"/>
          <w:sz w:val="20"/>
          <w:szCs w:val="20"/>
        </w:rPr>
        <w:t>:</w:t>
      </w:r>
      <w:r w:rsidRPr="0030192C">
        <w:rPr>
          <w:rFonts w:ascii="Century" w:hAnsi="Century" w:cstheme="minorHAnsi"/>
          <w:sz w:val="20"/>
          <w:szCs w:val="20"/>
        </w:rPr>
        <w:t xml:space="preserve"> </w:t>
      </w:r>
      <w:r w:rsidRPr="0030192C">
        <w:rPr>
          <w:rFonts w:ascii="Century" w:hAnsi="Century" w:cstheme="minorHAnsi"/>
          <w:i/>
          <w:sz w:val="20"/>
          <w:szCs w:val="20"/>
        </w:rPr>
        <w:t>Las competencias normativas de las Comunidades Autónomas en los tributos cedidos</w:t>
      </w:r>
      <w:r w:rsidRPr="0030192C">
        <w:rPr>
          <w:rFonts w:ascii="Century" w:hAnsi="Century" w:cstheme="minorHAnsi"/>
          <w:sz w:val="20"/>
          <w:szCs w:val="20"/>
        </w:rPr>
        <w:t>, Universidad de Murcia, Servicios de Publicaciones, Murcia, 2005, pp.102-105.</w:t>
      </w:r>
    </w:p>
  </w:footnote>
  <w:footnote w:id="43">
    <w:p w:rsidR="006E572A" w:rsidRPr="0030192C" w:rsidRDefault="006E572A" w:rsidP="0030192C">
      <w:pPr>
        <w:pStyle w:val="Sinespaciado"/>
        <w:spacing w:line="360" w:lineRule="auto"/>
        <w:jc w:val="both"/>
        <w:rPr>
          <w:rFonts w:ascii="Century" w:hAnsi="Century" w:cstheme="minorHAnsi"/>
          <w:sz w:val="20"/>
          <w:szCs w:val="20"/>
        </w:rPr>
      </w:pPr>
      <w:r w:rsidRPr="0030192C">
        <w:rPr>
          <w:rStyle w:val="Refdenotaalpie"/>
          <w:rFonts w:ascii="Century" w:hAnsi="Century" w:cstheme="minorHAnsi"/>
          <w:sz w:val="20"/>
          <w:szCs w:val="20"/>
        </w:rPr>
        <w:footnoteRef/>
      </w:r>
      <w:r w:rsidRPr="0030192C">
        <w:rPr>
          <w:rFonts w:ascii="Century" w:hAnsi="Century" w:cstheme="minorHAnsi"/>
          <w:sz w:val="20"/>
          <w:szCs w:val="20"/>
        </w:rPr>
        <w:t xml:space="preserve"> RUIZ ALMENDRAL, V</w:t>
      </w:r>
      <w:r w:rsidRPr="003B574E">
        <w:rPr>
          <w:rFonts w:cstheme="minorHAnsi"/>
          <w:sz w:val="20"/>
          <w:szCs w:val="20"/>
        </w:rPr>
        <w:t>:</w:t>
      </w:r>
      <w:r w:rsidRPr="0030192C">
        <w:rPr>
          <w:rFonts w:ascii="Century" w:hAnsi="Century" w:cstheme="minorHAnsi"/>
          <w:sz w:val="20"/>
          <w:szCs w:val="20"/>
        </w:rPr>
        <w:t xml:space="preserve"> “Diez preguntas sobre los impuestos cedidos”, </w:t>
      </w:r>
      <w:r w:rsidRPr="0030192C">
        <w:rPr>
          <w:rFonts w:ascii="Century" w:hAnsi="Century" w:cstheme="minorHAnsi"/>
          <w:i/>
          <w:sz w:val="20"/>
          <w:szCs w:val="20"/>
        </w:rPr>
        <w:t>Quincena Fiscal</w:t>
      </w:r>
      <w:r w:rsidRPr="0030192C">
        <w:rPr>
          <w:rFonts w:ascii="Century" w:hAnsi="Century" w:cstheme="minorHAnsi"/>
          <w:sz w:val="20"/>
          <w:szCs w:val="20"/>
        </w:rPr>
        <w:t>, nº 17, 2004, pp. 5 y 6.</w:t>
      </w:r>
    </w:p>
  </w:footnote>
  <w:footnote w:id="44">
    <w:p w:rsidR="006E572A" w:rsidRPr="0030192C" w:rsidRDefault="006E572A" w:rsidP="0030192C">
      <w:pPr>
        <w:pStyle w:val="Sinespaciado"/>
        <w:spacing w:line="360" w:lineRule="auto"/>
        <w:jc w:val="both"/>
        <w:rPr>
          <w:rFonts w:ascii="Century" w:hAnsi="Century" w:cstheme="minorHAnsi"/>
          <w:i/>
          <w:iCs/>
          <w:sz w:val="20"/>
          <w:szCs w:val="20"/>
        </w:rPr>
      </w:pPr>
      <w:r w:rsidRPr="0030192C">
        <w:rPr>
          <w:rStyle w:val="Refdenotaalpie"/>
          <w:rFonts w:ascii="Century" w:hAnsi="Century" w:cstheme="minorHAnsi"/>
          <w:sz w:val="20"/>
          <w:szCs w:val="20"/>
        </w:rPr>
        <w:footnoteRef/>
      </w:r>
      <w:r w:rsidRPr="0030192C">
        <w:rPr>
          <w:rFonts w:ascii="Century" w:hAnsi="Century" w:cstheme="minorHAnsi"/>
          <w:sz w:val="20"/>
          <w:szCs w:val="20"/>
        </w:rPr>
        <w:t xml:space="preserve"> GONZÁLEZ </w:t>
      </w:r>
      <w:proofErr w:type="spellStart"/>
      <w:r w:rsidRPr="0030192C">
        <w:rPr>
          <w:rFonts w:ascii="Century" w:hAnsi="Century" w:cstheme="minorHAnsi"/>
          <w:sz w:val="20"/>
          <w:szCs w:val="20"/>
        </w:rPr>
        <w:t>GONZÁLEZ</w:t>
      </w:r>
      <w:proofErr w:type="spellEnd"/>
      <w:r w:rsidRPr="0030192C">
        <w:rPr>
          <w:rFonts w:ascii="Century" w:hAnsi="Century" w:cstheme="minorHAnsi"/>
          <w:sz w:val="20"/>
          <w:szCs w:val="20"/>
        </w:rPr>
        <w:t>, A. I</w:t>
      </w:r>
      <w:r w:rsidRPr="003B574E">
        <w:rPr>
          <w:rFonts w:cstheme="minorHAnsi"/>
          <w:sz w:val="20"/>
          <w:szCs w:val="20"/>
        </w:rPr>
        <w:t>:</w:t>
      </w:r>
      <w:r w:rsidRPr="0030192C">
        <w:rPr>
          <w:rFonts w:ascii="Century" w:hAnsi="Century" w:cstheme="minorHAnsi"/>
          <w:sz w:val="20"/>
          <w:szCs w:val="20"/>
        </w:rPr>
        <w:t xml:space="preserve"> “L</w:t>
      </w:r>
      <w:r w:rsidRPr="0030192C">
        <w:rPr>
          <w:rFonts w:ascii="Century" w:hAnsi="Century" w:cstheme="minorHAnsi"/>
          <w:bCs/>
          <w:sz w:val="20"/>
          <w:szCs w:val="20"/>
        </w:rPr>
        <w:t xml:space="preserve">a corresponsabilidad fiscal de las Comunidades Autónomas. Un balance”, </w:t>
      </w:r>
      <w:proofErr w:type="spellStart"/>
      <w:r w:rsidRPr="0030192C">
        <w:rPr>
          <w:rFonts w:ascii="Century" w:hAnsi="Century" w:cstheme="minorHAnsi"/>
          <w:i/>
          <w:iCs/>
          <w:sz w:val="20"/>
          <w:szCs w:val="20"/>
        </w:rPr>
        <w:t>Entemu</w:t>
      </w:r>
      <w:proofErr w:type="spellEnd"/>
      <w:r w:rsidRPr="0030192C">
        <w:rPr>
          <w:rFonts w:ascii="Century" w:hAnsi="Century" w:cstheme="minorHAnsi"/>
          <w:i/>
          <w:iCs/>
          <w:sz w:val="20"/>
          <w:szCs w:val="20"/>
        </w:rPr>
        <w:t>, Revista de la UNED</w:t>
      </w:r>
      <w:r w:rsidRPr="0030192C">
        <w:rPr>
          <w:rFonts w:ascii="Century" w:hAnsi="Century" w:cstheme="minorHAnsi"/>
          <w:iCs/>
          <w:sz w:val="20"/>
          <w:szCs w:val="20"/>
        </w:rPr>
        <w:t xml:space="preserve">, 2000, pp. 5 y 6. </w:t>
      </w:r>
    </w:p>
  </w:footnote>
  <w:footnote w:id="45">
    <w:p w:rsidR="006E572A" w:rsidRPr="0030192C" w:rsidRDefault="006E572A" w:rsidP="0030192C">
      <w:pPr>
        <w:pStyle w:val="Sinespaciado"/>
        <w:spacing w:line="360" w:lineRule="auto"/>
        <w:jc w:val="both"/>
        <w:rPr>
          <w:rFonts w:ascii="Century" w:hAnsi="Century" w:cstheme="minorHAnsi"/>
          <w:sz w:val="20"/>
          <w:szCs w:val="20"/>
        </w:rPr>
      </w:pPr>
      <w:r w:rsidRPr="0030192C">
        <w:rPr>
          <w:rStyle w:val="Refdenotaalpie"/>
          <w:rFonts w:ascii="Century" w:hAnsi="Century" w:cstheme="minorHAnsi"/>
          <w:sz w:val="20"/>
          <w:szCs w:val="20"/>
        </w:rPr>
        <w:footnoteRef/>
      </w:r>
      <w:r w:rsidRPr="0030192C">
        <w:rPr>
          <w:rFonts w:ascii="Century" w:hAnsi="Century" w:cstheme="minorHAnsi"/>
          <w:sz w:val="20"/>
          <w:szCs w:val="20"/>
        </w:rPr>
        <w:t xml:space="preserve"> MUT AGUILAR, I y UTANDE SAN JUAN, J. Mª</w:t>
      </w:r>
      <w:r w:rsidRPr="003B574E">
        <w:rPr>
          <w:rFonts w:cstheme="minorHAnsi"/>
          <w:sz w:val="20"/>
          <w:szCs w:val="20"/>
        </w:rPr>
        <w:t>:</w:t>
      </w:r>
      <w:r w:rsidRPr="0030192C">
        <w:rPr>
          <w:rFonts w:ascii="Century" w:hAnsi="Century" w:cstheme="minorHAnsi"/>
          <w:sz w:val="20"/>
          <w:szCs w:val="20"/>
        </w:rPr>
        <w:t xml:space="preserve"> “</w:t>
      </w:r>
      <w:r w:rsidRPr="0030192C">
        <w:rPr>
          <w:rFonts w:ascii="Century" w:hAnsi="Century" w:cstheme="minorHAnsi"/>
          <w:bCs/>
          <w:sz w:val="20"/>
          <w:szCs w:val="20"/>
        </w:rPr>
        <w:t xml:space="preserve">Autonomía y Corresponsabilidad en el nuevo sistema de financiación autonómica”, </w:t>
      </w:r>
      <w:r w:rsidRPr="0030192C">
        <w:rPr>
          <w:rFonts w:ascii="Century" w:hAnsi="Century" w:cstheme="minorHAnsi"/>
          <w:bCs/>
          <w:i/>
          <w:sz w:val="20"/>
          <w:szCs w:val="20"/>
        </w:rPr>
        <w:t>Instituto de Estudios Fiscales. Presupuesto y gasto público</w:t>
      </w:r>
      <w:r w:rsidRPr="0030192C">
        <w:rPr>
          <w:rFonts w:ascii="Century" w:hAnsi="Century" w:cstheme="minorHAnsi"/>
          <w:bCs/>
          <w:sz w:val="20"/>
          <w:szCs w:val="20"/>
        </w:rPr>
        <w:t>, Ed. Ministerio de Hacienda, Servicio de Publicaciones, 2011, pp. 68 y 69.</w:t>
      </w:r>
    </w:p>
  </w:footnote>
  <w:footnote w:id="46">
    <w:p w:rsidR="006E572A" w:rsidRPr="0030192C" w:rsidRDefault="006E572A" w:rsidP="0030192C">
      <w:pPr>
        <w:pStyle w:val="Sinespaciado"/>
        <w:spacing w:line="360" w:lineRule="auto"/>
        <w:jc w:val="both"/>
        <w:rPr>
          <w:rFonts w:ascii="Century" w:hAnsi="Century" w:cstheme="minorHAnsi"/>
          <w:sz w:val="20"/>
          <w:szCs w:val="20"/>
        </w:rPr>
      </w:pPr>
      <w:r w:rsidRPr="0030192C">
        <w:rPr>
          <w:rStyle w:val="Refdenotaalpie"/>
          <w:rFonts w:ascii="Century" w:hAnsi="Century" w:cstheme="minorHAnsi"/>
          <w:sz w:val="20"/>
          <w:szCs w:val="20"/>
        </w:rPr>
        <w:footnoteRef/>
      </w:r>
      <w:r w:rsidRPr="0030192C">
        <w:rPr>
          <w:rFonts w:ascii="Century" w:hAnsi="Century" w:cstheme="minorHAnsi"/>
          <w:sz w:val="20"/>
          <w:szCs w:val="20"/>
        </w:rPr>
        <w:t xml:space="preserve"> MUT AGUILAR, I y UTANDE SAN JUAN, J. Mª</w:t>
      </w:r>
      <w:r w:rsidRPr="003B574E">
        <w:rPr>
          <w:rFonts w:cstheme="minorHAnsi"/>
          <w:sz w:val="20"/>
          <w:szCs w:val="20"/>
        </w:rPr>
        <w:t>:</w:t>
      </w:r>
      <w:r w:rsidRPr="0030192C">
        <w:rPr>
          <w:rFonts w:ascii="Century" w:hAnsi="Century" w:cstheme="minorHAnsi"/>
          <w:sz w:val="20"/>
          <w:szCs w:val="20"/>
        </w:rPr>
        <w:t xml:space="preserve"> “</w:t>
      </w:r>
      <w:r w:rsidRPr="0030192C">
        <w:rPr>
          <w:rFonts w:ascii="Century" w:hAnsi="Century" w:cstheme="minorHAnsi"/>
          <w:bCs/>
          <w:sz w:val="20"/>
          <w:szCs w:val="20"/>
        </w:rPr>
        <w:t xml:space="preserve">Autonomía y Corresponsabilidad en el nuevo sistema de financiación autonómica”, </w:t>
      </w:r>
      <w:r w:rsidRPr="0030192C">
        <w:rPr>
          <w:rFonts w:ascii="Century" w:hAnsi="Century" w:cstheme="minorHAnsi"/>
          <w:bCs/>
          <w:i/>
          <w:sz w:val="20"/>
          <w:szCs w:val="20"/>
        </w:rPr>
        <w:t>ob. cit.</w:t>
      </w:r>
      <w:r w:rsidRPr="0030192C">
        <w:rPr>
          <w:rFonts w:ascii="Century" w:hAnsi="Century" w:cstheme="minorHAnsi"/>
          <w:bCs/>
          <w:sz w:val="20"/>
          <w:szCs w:val="20"/>
        </w:rPr>
        <w:t>, p. 70.</w:t>
      </w:r>
    </w:p>
  </w:footnote>
  <w:footnote w:id="47">
    <w:p w:rsidR="006E572A" w:rsidRPr="0030192C" w:rsidRDefault="006E572A" w:rsidP="0030192C">
      <w:pPr>
        <w:pStyle w:val="Sinespaciado"/>
        <w:spacing w:line="360" w:lineRule="auto"/>
        <w:jc w:val="both"/>
        <w:rPr>
          <w:rFonts w:ascii="Century" w:hAnsi="Century" w:cstheme="minorHAnsi"/>
          <w:sz w:val="20"/>
          <w:szCs w:val="20"/>
        </w:rPr>
      </w:pPr>
      <w:r w:rsidRPr="0030192C">
        <w:rPr>
          <w:rStyle w:val="Refdenotaalpie"/>
          <w:rFonts w:ascii="Century" w:hAnsi="Century" w:cstheme="minorHAnsi"/>
          <w:sz w:val="20"/>
          <w:szCs w:val="20"/>
        </w:rPr>
        <w:footnoteRef/>
      </w:r>
      <w:r w:rsidRPr="0030192C">
        <w:rPr>
          <w:rFonts w:ascii="Century" w:hAnsi="Century" w:cstheme="minorHAnsi"/>
          <w:sz w:val="20"/>
          <w:szCs w:val="20"/>
        </w:rPr>
        <w:t xml:space="preserve"> Siendo responsables subsidiarios, como dice el art. 8 de la LISD y el art. 19 del RISD</w:t>
      </w:r>
      <w:r w:rsidRPr="003B574E">
        <w:rPr>
          <w:rFonts w:cstheme="minorHAnsi"/>
          <w:sz w:val="20"/>
          <w:szCs w:val="20"/>
        </w:rPr>
        <w:t>:</w:t>
      </w:r>
      <w:r w:rsidRPr="0030192C">
        <w:rPr>
          <w:rFonts w:ascii="Century" w:hAnsi="Century" w:cstheme="minorHAnsi"/>
          <w:sz w:val="20"/>
          <w:szCs w:val="20"/>
        </w:rPr>
        <w:t xml:space="preserve"> “en las transmisiones </w:t>
      </w:r>
      <w:r w:rsidRPr="0030192C">
        <w:rPr>
          <w:rFonts w:ascii="Century" w:hAnsi="Century" w:cstheme="minorHAnsi"/>
          <w:i/>
          <w:sz w:val="20"/>
          <w:szCs w:val="20"/>
        </w:rPr>
        <w:t>mortis causa</w:t>
      </w:r>
      <w:r w:rsidRPr="0030192C">
        <w:rPr>
          <w:rFonts w:ascii="Century" w:hAnsi="Century" w:cstheme="minorHAnsi"/>
          <w:sz w:val="20"/>
          <w:szCs w:val="20"/>
        </w:rPr>
        <w:t xml:space="preserve"> de depósitos, garantías o cuentas corrientes, los intermediarios financieros y las demás entidades o personas que hubieren entregado el metálico y valores depositados o devuelto las garantías constituidas”.</w:t>
      </w:r>
    </w:p>
  </w:footnote>
  <w:footnote w:id="48">
    <w:p w:rsidR="006E572A" w:rsidRPr="0030192C" w:rsidRDefault="006E572A" w:rsidP="0030192C">
      <w:pPr>
        <w:pStyle w:val="Sinespaciado"/>
        <w:spacing w:line="360" w:lineRule="auto"/>
        <w:jc w:val="both"/>
        <w:rPr>
          <w:rFonts w:ascii="Century" w:hAnsi="Century" w:cstheme="minorHAnsi"/>
          <w:sz w:val="20"/>
          <w:szCs w:val="20"/>
        </w:rPr>
      </w:pPr>
      <w:r w:rsidRPr="0030192C">
        <w:rPr>
          <w:rStyle w:val="Refdenotaalpie"/>
          <w:rFonts w:ascii="Century" w:hAnsi="Century" w:cstheme="minorHAnsi"/>
          <w:sz w:val="20"/>
          <w:szCs w:val="20"/>
        </w:rPr>
        <w:footnoteRef/>
      </w:r>
      <w:r w:rsidRPr="0030192C">
        <w:rPr>
          <w:rFonts w:ascii="Century" w:hAnsi="Century" w:cstheme="minorHAnsi"/>
          <w:sz w:val="20"/>
          <w:szCs w:val="20"/>
        </w:rPr>
        <w:t xml:space="preserve"> No obstante, más adelante veremos cómo la Disposición Final Tercera de la Ley 26/2014, de 27 de noviembre, por la que se modifican la Ley 35/2006, de 28 de noviembre, del Impuesto sobre la Renta de las Personas Físicas, el texto refundido de la Ley del Impuesto sobre la Renta de no Residentes, aprobado por el Real Decreto Legislativo 5/2004, de 5 de marzo, y otras normas tributarias, ha incluido una Disposición Adicional Segunda a la LISD que introduce dos nuevos puntos de conexión.</w:t>
      </w:r>
    </w:p>
  </w:footnote>
  <w:footnote w:id="49">
    <w:p w:rsidR="006E572A" w:rsidRPr="0030192C" w:rsidRDefault="006E572A" w:rsidP="0030192C">
      <w:pPr>
        <w:pStyle w:val="Sinespaciado"/>
        <w:spacing w:line="360" w:lineRule="auto"/>
        <w:jc w:val="both"/>
        <w:rPr>
          <w:rFonts w:ascii="Century" w:hAnsi="Century" w:cstheme="minorHAnsi"/>
          <w:sz w:val="20"/>
          <w:szCs w:val="20"/>
        </w:rPr>
      </w:pPr>
      <w:r w:rsidRPr="0030192C">
        <w:rPr>
          <w:rStyle w:val="Refdenotaalpie"/>
          <w:rFonts w:ascii="Century" w:hAnsi="Century" w:cstheme="minorHAnsi"/>
          <w:sz w:val="20"/>
          <w:szCs w:val="20"/>
        </w:rPr>
        <w:footnoteRef/>
      </w:r>
      <w:r w:rsidRPr="0030192C">
        <w:rPr>
          <w:rFonts w:ascii="Century" w:hAnsi="Century" w:cstheme="minorHAnsi"/>
          <w:sz w:val="20"/>
          <w:szCs w:val="20"/>
        </w:rPr>
        <w:t xml:space="preserve"> CALVO VÉRGEZ, J</w:t>
      </w:r>
      <w:r w:rsidRPr="003B574E">
        <w:rPr>
          <w:rFonts w:cstheme="minorHAnsi"/>
          <w:sz w:val="20"/>
          <w:szCs w:val="20"/>
        </w:rPr>
        <w:t>:</w:t>
      </w:r>
      <w:r w:rsidRPr="0030192C">
        <w:rPr>
          <w:rFonts w:ascii="Century" w:hAnsi="Century" w:cstheme="minorHAnsi"/>
          <w:sz w:val="20"/>
          <w:szCs w:val="20"/>
        </w:rPr>
        <w:t xml:space="preserve"> “En torno a las recientes tensiones jurisdiccionales surgidas en el ámbito del ISD a las puerta</w:t>
      </w:r>
      <w:r>
        <w:rPr>
          <w:rFonts w:ascii="Century" w:hAnsi="Century" w:cstheme="minorHAnsi"/>
          <w:sz w:val="20"/>
          <w:szCs w:val="20"/>
        </w:rPr>
        <w:t xml:space="preserve">s de una reforma del </w:t>
      </w:r>
      <w:proofErr w:type="spellStart"/>
      <w:r>
        <w:rPr>
          <w:rFonts w:ascii="Century" w:hAnsi="Century" w:cstheme="minorHAnsi"/>
          <w:sz w:val="20"/>
          <w:szCs w:val="20"/>
        </w:rPr>
        <w:t>impuesto”</w:t>
      </w:r>
      <w:proofErr w:type="gramStart"/>
      <w:r>
        <w:rPr>
          <w:rFonts w:ascii="Century" w:hAnsi="Century" w:cstheme="minorHAnsi"/>
          <w:sz w:val="20"/>
          <w:szCs w:val="20"/>
        </w:rPr>
        <w:t>,</w:t>
      </w:r>
      <w:r w:rsidRPr="0030192C">
        <w:rPr>
          <w:rFonts w:ascii="Century" w:hAnsi="Century" w:cstheme="minorHAnsi"/>
          <w:i/>
          <w:sz w:val="20"/>
          <w:szCs w:val="20"/>
        </w:rPr>
        <w:t>Quincena</w:t>
      </w:r>
      <w:proofErr w:type="spellEnd"/>
      <w:proofErr w:type="gramEnd"/>
      <w:r w:rsidRPr="0030192C">
        <w:rPr>
          <w:rFonts w:ascii="Century" w:hAnsi="Century" w:cstheme="minorHAnsi"/>
          <w:i/>
          <w:sz w:val="20"/>
          <w:szCs w:val="20"/>
        </w:rPr>
        <w:t xml:space="preserve"> </w:t>
      </w:r>
      <w:proofErr w:type="spellStart"/>
      <w:r w:rsidRPr="0030192C">
        <w:rPr>
          <w:rFonts w:ascii="Century" w:hAnsi="Century" w:cstheme="minorHAnsi"/>
          <w:i/>
          <w:sz w:val="20"/>
          <w:szCs w:val="20"/>
        </w:rPr>
        <w:t>Fiscal</w:t>
      </w:r>
      <w:r>
        <w:rPr>
          <w:rFonts w:ascii="Century" w:hAnsi="Century" w:cstheme="minorHAnsi"/>
          <w:sz w:val="20"/>
          <w:szCs w:val="20"/>
        </w:rPr>
        <w:t>,</w:t>
      </w:r>
      <w:r w:rsidRPr="0030192C">
        <w:rPr>
          <w:rFonts w:ascii="Century" w:hAnsi="Century" w:cstheme="minorHAnsi"/>
          <w:sz w:val="20"/>
          <w:szCs w:val="20"/>
        </w:rPr>
        <w:t>nº</w:t>
      </w:r>
      <w:proofErr w:type="spellEnd"/>
      <w:r w:rsidRPr="0030192C">
        <w:rPr>
          <w:rFonts w:ascii="Century" w:hAnsi="Century" w:cstheme="minorHAnsi"/>
          <w:sz w:val="20"/>
          <w:szCs w:val="20"/>
        </w:rPr>
        <w:t xml:space="preserve"> 5, 2015, p.26.</w:t>
      </w:r>
    </w:p>
  </w:footnote>
  <w:footnote w:id="50">
    <w:p w:rsidR="006E572A" w:rsidRPr="0030192C" w:rsidRDefault="006E572A" w:rsidP="0030192C">
      <w:pPr>
        <w:pStyle w:val="Sinespaciado"/>
        <w:spacing w:line="360" w:lineRule="auto"/>
        <w:jc w:val="both"/>
        <w:rPr>
          <w:rFonts w:ascii="Century" w:hAnsi="Century" w:cstheme="minorHAnsi"/>
          <w:sz w:val="20"/>
          <w:szCs w:val="20"/>
        </w:rPr>
      </w:pPr>
      <w:r w:rsidRPr="0030192C">
        <w:rPr>
          <w:rStyle w:val="Refdenotaalpie"/>
          <w:rFonts w:ascii="Century" w:hAnsi="Century" w:cstheme="minorHAnsi"/>
          <w:sz w:val="20"/>
          <w:szCs w:val="20"/>
        </w:rPr>
        <w:footnoteRef/>
      </w:r>
      <w:r w:rsidRPr="0030192C">
        <w:rPr>
          <w:rFonts w:ascii="Century" w:hAnsi="Century" w:cstheme="minorHAnsi"/>
          <w:sz w:val="20"/>
          <w:szCs w:val="20"/>
        </w:rPr>
        <w:t xml:space="preserve"> Respecto al patrimonio preexistente indica el art. 22.3 de la LISD y el art. 45 del RISD, que en las adquisiciones </w:t>
      </w:r>
      <w:r w:rsidRPr="0030192C">
        <w:rPr>
          <w:rFonts w:ascii="Century" w:hAnsi="Century" w:cstheme="minorHAnsi"/>
          <w:i/>
          <w:sz w:val="20"/>
          <w:szCs w:val="20"/>
        </w:rPr>
        <w:t>mortis causa</w:t>
      </w:r>
      <w:r w:rsidRPr="0030192C">
        <w:rPr>
          <w:rFonts w:ascii="Century" w:hAnsi="Century" w:cstheme="minorHAnsi"/>
          <w:sz w:val="20"/>
          <w:szCs w:val="20"/>
        </w:rPr>
        <w:t xml:space="preserve">, el valor de los bienes y derechos por cuya adquisición se haya satisfecho el impuesto como consecuencia de una donación anterior realizada por el causante estará excluida. Se indica en el art. 20 de la LISD y el art. 42 del RISD que el impuesto dispone de cuatro grupos de grados de parentesco por adquisiciones </w:t>
      </w:r>
      <w:r w:rsidRPr="0030192C">
        <w:rPr>
          <w:rFonts w:ascii="Century" w:hAnsi="Century" w:cstheme="minorHAnsi"/>
          <w:i/>
          <w:sz w:val="20"/>
          <w:szCs w:val="20"/>
        </w:rPr>
        <w:t>mortis causa</w:t>
      </w:r>
      <w:r w:rsidRPr="003B574E">
        <w:rPr>
          <w:rFonts w:cstheme="minorHAnsi"/>
          <w:sz w:val="20"/>
          <w:szCs w:val="20"/>
        </w:rPr>
        <w:t>:</w:t>
      </w:r>
      <w:r w:rsidRPr="0030192C">
        <w:rPr>
          <w:rFonts w:ascii="Century" w:hAnsi="Century" w:cstheme="minorHAnsi"/>
          <w:sz w:val="20"/>
          <w:szCs w:val="20"/>
        </w:rPr>
        <w:t xml:space="preserve"> Grupo I</w:t>
      </w:r>
      <w:r w:rsidRPr="003B574E">
        <w:rPr>
          <w:rFonts w:cstheme="minorHAnsi"/>
          <w:sz w:val="20"/>
          <w:szCs w:val="20"/>
        </w:rPr>
        <w:t>:</w:t>
      </w:r>
      <w:r w:rsidRPr="0030192C">
        <w:rPr>
          <w:rFonts w:ascii="Century" w:hAnsi="Century" w:cstheme="minorHAnsi"/>
          <w:sz w:val="20"/>
          <w:szCs w:val="20"/>
        </w:rPr>
        <w:t xml:space="preserve"> descendientes y adoptados menores de veintiún años. Grupo II</w:t>
      </w:r>
      <w:r w:rsidRPr="003B574E">
        <w:rPr>
          <w:rFonts w:cstheme="minorHAnsi"/>
          <w:sz w:val="20"/>
          <w:szCs w:val="20"/>
        </w:rPr>
        <w:t>:</w:t>
      </w:r>
      <w:r w:rsidRPr="0030192C">
        <w:rPr>
          <w:rFonts w:ascii="Century" w:hAnsi="Century" w:cstheme="minorHAnsi"/>
          <w:sz w:val="20"/>
          <w:szCs w:val="20"/>
        </w:rPr>
        <w:t xml:space="preserve"> descendientes y adoptados de veintiuno o más años, cónyuges, ascendientes y adoptantes. Grupo III</w:t>
      </w:r>
      <w:r w:rsidRPr="003B574E">
        <w:rPr>
          <w:rFonts w:cstheme="minorHAnsi"/>
          <w:sz w:val="20"/>
          <w:szCs w:val="20"/>
        </w:rPr>
        <w:t>:</w:t>
      </w:r>
      <w:r w:rsidRPr="0030192C">
        <w:rPr>
          <w:rFonts w:ascii="Century" w:hAnsi="Century" w:cstheme="minorHAnsi"/>
          <w:sz w:val="20"/>
          <w:szCs w:val="20"/>
        </w:rPr>
        <w:t xml:space="preserve"> colaterales de segundo y tercer grado, ascendientes y descendientes por afinidad. Grupo IV</w:t>
      </w:r>
      <w:r w:rsidRPr="003B574E">
        <w:rPr>
          <w:rFonts w:cstheme="minorHAnsi"/>
          <w:sz w:val="20"/>
          <w:szCs w:val="20"/>
        </w:rPr>
        <w:t>:</w:t>
      </w:r>
      <w:r w:rsidRPr="0030192C">
        <w:rPr>
          <w:rFonts w:ascii="Century" w:hAnsi="Century" w:cstheme="minorHAnsi"/>
          <w:sz w:val="20"/>
          <w:szCs w:val="20"/>
        </w:rPr>
        <w:t xml:space="preserve"> colaterales de cuarto grado, grados más distantes y extraños, no habrá lugar a reducción.</w:t>
      </w:r>
    </w:p>
  </w:footnote>
  <w:footnote w:id="51">
    <w:p w:rsidR="006E572A" w:rsidRPr="0030192C" w:rsidRDefault="006E572A" w:rsidP="0030192C">
      <w:pPr>
        <w:pStyle w:val="Sinespaciado"/>
        <w:spacing w:line="360" w:lineRule="auto"/>
        <w:jc w:val="both"/>
        <w:rPr>
          <w:rFonts w:ascii="Century" w:hAnsi="Century" w:cstheme="minorHAnsi"/>
          <w:sz w:val="20"/>
          <w:szCs w:val="20"/>
        </w:rPr>
      </w:pPr>
      <w:r w:rsidRPr="0030192C">
        <w:rPr>
          <w:rStyle w:val="Refdenotaalpie"/>
          <w:rFonts w:ascii="Century" w:hAnsi="Century" w:cstheme="minorHAnsi"/>
          <w:sz w:val="20"/>
          <w:szCs w:val="20"/>
        </w:rPr>
        <w:footnoteRef/>
      </w:r>
      <w:r w:rsidRPr="0030192C">
        <w:rPr>
          <w:rFonts w:ascii="Century" w:hAnsi="Century" w:cstheme="minorHAnsi"/>
          <w:sz w:val="20"/>
          <w:szCs w:val="20"/>
        </w:rPr>
        <w:t xml:space="preserve"> El Acuerdo de aprobación del Presupuesto de la Comunidad Autónoma de Andalucía para 2018 obtendrá, para su entrada en vigor el 1 de enero del mismo año, la siguiente medida en relación al ISUC en su territorio</w:t>
      </w:r>
      <w:r w:rsidRPr="003B574E">
        <w:rPr>
          <w:rFonts w:cstheme="minorHAnsi"/>
          <w:sz w:val="20"/>
          <w:szCs w:val="20"/>
        </w:rPr>
        <w:t>:</w:t>
      </w:r>
      <w:r w:rsidRPr="0030192C">
        <w:rPr>
          <w:rFonts w:ascii="Century" w:hAnsi="Century" w:cstheme="minorHAnsi"/>
          <w:sz w:val="20"/>
          <w:szCs w:val="20"/>
        </w:rPr>
        <w:t xml:space="preserve"> Se modifica el art. 19 del </w:t>
      </w:r>
      <w:r w:rsidRPr="0030192C">
        <w:rPr>
          <w:rFonts w:ascii="Century" w:eastAsia="Times New Roman" w:hAnsi="Century" w:cstheme="minorHAnsi"/>
          <w:bCs/>
          <w:sz w:val="20"/>
          <w:szCs w:val="20"/>
        </w:rPr>
        <w:t xml:space="preserve">Decreto Legislativo 1/2009, de 1 de septiembre, por el que se aprueba el Texto Refundido de las disposiciones dictadas por la Comunidad Autónoma de Andalucía en materia de tributos cedidos, aplicándose una reducción </w:t>
      </w:r>
      <w:r w:rsidRPr="0030192C">
        <w:rPr>
          <w:rFonts w:ascii="Century" w:eastAsia="Times New Roman" w:hAnsi="Century" w:cstheme="minorHAnsi"/>
          <w:sz w:val="20"/>
          <w:szCs w:val="20"/>
        </w:rPr>
        <w:t xml:space="preserve">propia por un importe de hasta 1.000.000 de euros para adquisiciones </w:t>
      </w:r>
      <w:r w:rsidRPr="0030192C">
        <w:rPr>
          <w:rFonts w:ascii="Century" w:eastAsia="Times New Roman" w:hAnsi="Century" w:cstheme="minorHAnsi"/>
          <w:i/>
          <w:sz w:val="20"/>
          <w:szCs w:val="20"/>
        </w:rPr>
        <w:t>mortis causa</w:t>
      </w:r>
      <w:r w:rsidRPr="0030192C">
        <w:rPr>
          <w:rFonts w:ascii="Century" w:eastAsia="Times New Roman" w:hAnsi="Century" w:cstheme="minorHAnsi"/>
          <w:sz w:val="20"/>
          <w:szCs w:val="20"/>
        </w:rPr>
        <w:t>,</w:t>
      </w:r>
      <w:r w:rsidRPr="0030192C">
        <w:rPr>
          <w:rFonts w:ascii="Century" w:eastAsia="Times New Roman" w:hAnsi="Century" w:cstheme="minorHAnsi"/>
          <w:i/>
          <w:sz w:val="20"/>
          <w:szCs w:val="20"/>
        </w:rPr>
        <w:t xml:space="preserve"> </w:t>
      </w:r>
      <w:r w:rsidRPr="0030192C">
        <w:rPr>
          <w:rFonts w:ascii="Century" w:eastAsia="Times New Roman" w:hAnsi="Century" w:cstheme="minorHAnsi"/>
          <w:sz w:val="20"/>
          <w:szCs w:val="20"/>
        </w:rPr>
        <w:t>incluidas las de los beneficiarios de pólizas de seguros de vida, liquidando el impuesto por el exceso de dicha cuantía, siempre que el contribuyente esté comprendido en los Grupos I y II del art. 20.2.a) de la LISD y que su patrimonio preexistente sea igual o inferior a 1.000.000 de euros. El importe de esta reducción de la base imponible consistirá en una cantidad variable, cuya aplicación determine que el importe total de las reducciones aplicables no supere 1.000.000 euros. Por lo que el mínimo exento de 250.000 euros en vigor pasaría a ser de 1.000.000 de euros. Sólo el 5 por ciento de la población andaluza tendría que pagar por este impuesto, quedando dispensado el 95 por ciento.</w:t>
      </w:r>
    </w:p>
  </w:footnote>
  <w:footnote w:id="52">
    <w:p w:rsidR="006E572A" w:rsidRPr="0030192C" w:rsidRDefault="006E572A" w:rsidP="0030192C">
      <w:pPr>
        <w:pStyle w:val="Sinespaciado"/>
        <w:spacing w:line="360" w:lineRule="auto"/>
        <w:jc w:val="both"/>
        <w:rPr>
          <w:rFonts w:ascii="Century" w:hAnsi="Century" w:cstheme="minorHAnsi"/>
          <w:sz w:val="20"/>
          <w:szCs w:val="20"/>
        </w:rPr>
      </w:pPr>
      <w:r w:rsidRPr="0030192C">
        <w:rPr>
          <w:rStyle w:val="Refdenotaalpie"/>
          <w:rFonts w:ascii="Century" w:hAnsi="Century" w:cstheme="minorHAnsi"/>
          <w:sz w:val="20"/>
          <w:szCs w:val="20"/>
        </w:rPr>
        <w:footnoteRef/>
      </w:r>
      <w:r w:rsidRPr="0030192C">
        <w:rPr>
          <w:rFonts w:ascii="Century" w:hAnsi="Century" w:cstheme="minorHAnsi"/>
          <w:sz w:val="20"/>
          <w:szCs w:val="20"/>
        </w:rPr>
        <w:t xml:space="preserve"> El </w:t>
      </w:r>
      <w:r>
        <w:rPr>
          <w:rFonts w:ascii="Century" w:hAnsi="Century" w:cstheme="minorHAnsi"/>
          <w:sz w:val="20"/>
          <w:szCs w:val="20"/>
        </w:rPr>
        <w:t xml:space="preserve">citado </w:t>
      </w:r>
      <w:r w:rsidRPr="0030192C">
        <w:rPr>
          <w:rFonts w:ascii="Century" w:hAnsi="Century" w:cstheme="minorHAnsi"/>
          <w:sz w:val="20"/>
          <w:szCs w:val="20"/>
        </w:rPr>
        <w:t xml:space="preserve">Acuerdo de aprobación del Presupuesto de la Comunidad Autónoma de Andalucía para 2018 modificará el art. 20 del referido </w:t>
      </w:r>
      <w:r w:rsidRPr="0030192C">
        <w:rPr>
          <w:rFonts w:ascii="Century" w:eastAsia="Times New Roman" w:hAnsi="Century" w:cstheme="minorHAnsi"/>
          <w:bCs/>
          <w:sz w:val="20"/>
          <w:szCs w:val="20"/>
        </w:rPr>
        <w:t xml:space="preserve">Decreto Legislativo 1/2009, de 1 de septiembre, </w:t>
      </w:r>
      <w:r>
        <w:rPr>
          <w:rFonts w:ascii="Century" w:eastAsia="Times New Roman" w:hAnsi="Century" w:cstheme="minorHAnsi"/>
          <w:bCs/>
          <w:sz w:val="20"/>
          <w:szCs w:val="20"/>
        </w:rPr>
        <w:t>aplicándose</w:t>
      </w:r>
      <w:r w:rsidRPr="0030192C">
        <w:rPr>
          <w:rFonts w:ascii="Century" w:eastAsia="Times New Roman" w:hAnsi="Century" w:cstheme="minorHAnsi"/>
          <w:bCs/>
          <w:sz w:val="20"/>
          <w:szCs w:val="20"/>
        </w:rPr>
        <w:t xml:space="preserve"> una reducción </w:t>
      </w:r>
      <w:r w:rsidRPr="0030192C">
        <w:rPr>
          <w:rFonts w:ascii="Century" w:eastAsia="Times New Roman" w:hAnsi="Century" w:cstheme="minorHAnsi"/>
          <w:sz w:val="20"/>
          <w:szCs w:val="20"/>
        </w:rPr>
        <w:t xml:space="preserve">para adquisiciones </w:t>
      </w:r>
      <w:r w:rsidRPr="0030192C">
        <w:rPr>
          <w:rFonts w:ascii="Century" w:eastAsia="Times New Roman" w:hAnsi="Century" w:cstheme="minorHAnsi"/>
          <w:i/>
          <w:sz w:val="20"/>
          <w:szCs w:val="20"/>
        </w:rPr>
        <w:t>mortis causa</w:t>
      </w:r>
      <w:r>
        <w:rPr>
          <w:rFonts w:ascii="Century" w:eastAsia="Times New Roman" w:hAnsi="Century" w:cstheme="minorHAnsi"/>
          <w:i/>
          <w:sz w:val="20"/>
          <w:szCs w:val="20"/>
        </w:rPr>
        <w:t xml:space="preserve"> </w:t>
      </w:r>
      <w:r w:rsidRPr="0030192C">
        <w:rPr>
          <w:rFonts w:ascii="Century" w:eastAsia="Times New Roman" w:hAnsi="Century" w:cstheme="minorHAnsi"/>
          <w:sz w:val="20"/>
          <w:szCs w:val="20"/>
        </w:rPr>
        <w:t>de hasta 1.000.000 de euros,</w:t>
      </w:r>
      <w:r w:rsidRPr="0030192C">
        <w:rPr>
          <w:rFonts w:ascii="Century" w:eastAsia="Times New Roman" w:hAnsi="Century" w:cstheme="minorHAnsi"/>
          <w:i/>
          <w:sz w:val="20"/>
          <w:szCs w:val="20"/>
        </w:rPr>
        <w:t xml:space="preserve"> </w:t>
      </w:r>
      <w:r w:rsidRPr="0030192C">
        <w:rPr>
          <w:rFonts w:ascii="Century" w:eastAsia="Times New Roman" w:hAnsi="Century" w:cstheme="minorHAnsi"/>
          <w:sz w:val="20"/>
          <w:szCs w:val="20"/>
        </w:rPr>
        <w:t xml:space="preserve">incluidas las de los beneficiarios de pólizas de seguros de vida, liquidando el impuesto por el exceso de dicha cuantía, siempre que el contribuyente </w:t>
      </w:r>
      <w:r>
        <w:rPr>
          <w:rFonts w:ascii="Century" w:eastAsia="Times New Roman" w:hAnsi="Century" w:cstheme="minorHAnsi"/>
          <w:sz w:val="20"/>
          <w:szCs w:val="20"/>
        </w:rPr>
        <w:t>pertenezca</w:t>
      </w:r>
      <w:r w:rsidRPr="0030192C">
        <w:rPr>
          <w:rFonts w:ascii="Century" w:eastAsia="Times New Roman" w:hAnsi="Century" w:cstheme="minorHAnsi"/>
          <w:sz w:val="20"/>
          <w:szCs w:val="20"/>
        </w:rPr>
        <w:t xml:space="preserve"> </w:t>
      </w:r>
      <w:r>
        <w:rPr>
          <w:rFonts w:ascii="Century" w:eastAsia="Times New Roman" w:hAnsi="Century" w:cstheme="minorHAnsi"/>
          <w:sz w:val="20"/>
          <w:szCs w:val="20"/>
        </w:rPr>
        <w:t>a</w:t>
      </w:r>
      <w:r w:rsidRPr="0030192C">
        <w:rPr>
          <w:rFonts w:ascii="Century" w:eastAsia="Times New Roman" w:hAnsi="Century" w:cstheme="minorHAnsi"/>
          <w:sz w:val="20"/>
          <w:szCs w:val="20"/>
        </w:rPr>
        <w:t xml:space="preserve"> los Grupos I y II del art. 20.2.a) de la LISD y que</w:t>
      </w:r>
      <w:r>
        <w:rPr>
          <w:rFonts w:ascii="Century" w:eastAsia="Times New Roman" w:hAnsi="Century" w:cstheme="minorHAnsi"/>
          <w:sz w:val="20"/>
          <w:szCs w:val="20"/>
        </w:rPr>
        <w:t xml:space="preserve"> tenga la consideración legal de</w:t>
      </w:r>
      <w:r w:rsidRPr="0030192C">
        <w:rPr>
          <w:rFonts w:ascii="Century" w:eastAsia="Times New Roman" w:hAnsi="Century" w:cstheme="minorHAnsi"/>
          <w:sz w:val="20"/>
          <w:szCs w:val="20"/>
        </w:rPr>
        <w:t xml:space="preserve"> persona con </w:t>
      </w:r>
      <w:r>
        <w:rPr>
          <w:rFonts w:ascii="Century" w:eastAsia="Times New Roman" w:hAnsi="Century" w:cstheme="minorHAnsi"/>
          <w:sz w:val="20"/>
          <w:szCs w:val="20"/>
        </w:rPr>
        <w:t>discapacidad</w:t>
      </w:r>
      <w:r w:rsidRPr="0030192C">
        <w:rPr>
          <w:rFonts w:ascii="Century" w:eastAsia="Times New Roman" w:hAnsi="Century" w:cstheme="minorHAnsi"/>
          <w:sz w:val="20"/>
          <w:szCs w:val="20"/>
        </w:rPr>
        <w:t xml:space="preserve">. </w:t>
      </w:r>
      <w:r>
        <w:rPr>
          <w:rFonts w:ascii="Century" w:eastAsia="Times New Roman" w:hAnsi="Century" w:cstheme="minorHAnsi"/>
          <w:sz w:val="20"/>
          <w:szCs w:val="20"/>
        </w:rPr>
        <w:t>Esta reducción de</w:t>
      </w:r>
      <w:r w:rsidRPr="0030192C">
        <w:rPr>
          <w:rFonts w:ascii="Century" w:eastAsia="Times New Roman" w:hAnsi="Century" w:cstheme="minorHAnsi"/>
          <w:sz w:val="20"/>
          <w:szCs w:val="20"/>
        </w:rPr>
        <w:t xml:space="preserve"> la base imponible </w:t>
      </w:r>
      <w:r>
        <w:rPr>
          <w:rFonts w:ascii="Century" w:eastAsia="Times New Roman" w:hAnsi="Century" w:cstheme="minorHAnsi"/>
          <w:sz w:val="20"/>
          <w:szCs w:val="20"/>
        </w:rPr>
        <w:t>se basará</w:t>
      </w:r>
      <w:r w:rsidRPr="0030192C">
        <w:rPr>
          <w:rFonts w:ascii="Century" w:eastAsia="Times New Roman" w:hAnsi="Century" w:cstheme="minorHAnsi"/>
          <w:sz w:val="20"/>
          <w:szCs w:val="20"/>
        </w:rPr>
        <w:t xml:space="preserve"> en una cantidad variable, cuya aplicación determine que el importe total de las reducciones aplicables no supere 1.000.000 </w:t>
      </w:r>
      <w:r>
        <w:rPr>
          <w:rFonts w:ascii="Century" w:eastAsia="Times New Roman" w:hAnsi="Century" w:cstheme="minorHAnsi"/>
          <w:sz w:val="20"/>
          <w:szCs w:val="20"/>
        </w:rPr>
        <w:t xml:space="preserve">de </w:t>
      </w:r>
      <w:r w:rsidRPr="0030192C">
        <w:rPr>
          <w:rFonts w:ascii="Century" w:eastAsia="Times New Roman" w:hAnsi="Century" w:cstheme="minorHAnsi"/>
          <w:sz w:val="20"/>
          <w:szCs w:val="20"/>
        </w:rPr>
        <w:t xml:space="preserve">euros. Por lo que el mínimo exento de 250.000 euros en vigor pasaría a ser de 1.000.000 de euros. </w:t>
      </w:r>
      <w:r>
        <w:rPr>
          <w:rFonts w:ascii="Century" w:eastAsia="Times New Roman" w:hAnsi="Century" w:cstheme="minorHAnsi"/>
          <w:sz w:val="20"/>
          <w:szCs w:val="20"/>
        </w:rPr>
        <w:t>Si perteneciera</w:t>
      </w:r>
      <w:r w:rsidRPr="0030192C">
        <w:rPr>
          <w:rFonts w:ascii="Century" w:eastAsia="Times New Roman" w:hAnsi="Century" w:cstheme="minorHAnsi"/>
          <w:sz w:val="20"/>
          <w:szCs w:val="20"/>
        </w:rPr>
        <w:t xml:space="preserve"> a los Grupos III y IV del </w:t>
      </w:r>
      <w:r>
        <w:rPr>
          <w:rFonts w:ascii="Century" w:eastAsia="Times New Roman" w:hAnsi="Century" w:cstheme="minorHAnsi"/>
          <w:sz w:val="20"/>
          <w:szCs w:val="20"/>
        </w:rPr>
        <w:t>citado artículo</w:t>
      </w:r>
      <w:r w:rsidRPr="0030192C">
        <w:rPr>
          <w:rFonts w:ascii="Century" w:eastAsia="Times New Roman" w:hAnsi="Century" w:cstheme="minorHAnsi"/>
          <w:sz w:val="20"/>
          <w:szCs w:val="20"/>
        </w:rPr>
        <w:t xml:space="preserve">, se aplicará una reducción de hasta 250.000 euros para adquisiciones </w:t>
      </w:r>
      <w:r w:rsidRPr="0030192C">
        <w:rPr>
          <w:rFonts w:ascii="Century" w:eastAsia="Times New Roman" w:hAnsi="Century" w:cstheme="minorHAnsi"/>
          <w:i/>
          <w:sz w:val="20"/>
          <w:szCs w:val="20"/>
        </w:rPr>
        <w:t>mortis causa</w:t>
      </w:r>
      <w:r w:rsidRPr="0030192C">
        <w:rPr>
          <w:rFonts w:ascii="Century" w:eastAsia="Times New Roman" w:hAnsi="Century" w:cstheme="minorHAnsi"/>
          <w:sz w:val="20"/>
          <w:szCs w:val="20"/>
        </w:rPr>
        <w:t xml:space="preserve">, incluidas las de los beneficiarios de pólizas de seguros de vida, liquidando el impuesto por el exceso de dicha cuantía, siempre que su patrimonio preexistente sea igual o inferior a 1.000.000 de euros. El importe de esta reducción de la base imponible </w:t>
      </w:r>
      <w:r>
        <w:rPr>
          <w:rFonts w:ascii="Century" w:eastAsia="Times New Roman" w:hAnsi="Century" w:cstheme="minorHAnsi"/>
          <w:sz w:val="20"/>
          <w:szCs w:val="20"/>
        </w:rPr>
        <w:t>se basará</w:t>
      </w:r>
      <w:r w:rsidRPr="0030192C">
        <w:rPr>
          <w:rFonts w:ascii="Century" w:eastAsia="Times New Roman" w:hAnsi="Century" w:cstheme="minorHAnsi"/>
          <w:sz w:val="20"/>
          <w:szCs w:val="20"/>
        </w:rPr>
        <w:t xml:space="preserve"> en una cantidad variable, cuya aplicación determine que el importe total de las reducciones aplicables no supere los 250.000 euros. </w:t>
      </w:r>
    </w:p>
  </w:footnote>
  <w:footnote w:id="53">
    <w:p w:rsidR="006E572A" w:rsidRPr="00DA5F71" w:rsidRDefault="006E572A" w:rsidP="0030192C">
      <w:pPr>
        <w:pStyle w:val="Sinespaciado"/>
        <w:spacing w:line="360" w:lineRule="auto"/>
        <w:jc w:val="both"/>
        <w:rPr>
          <w:rFonts w:ascii="Century" w:eastAsia="Arial Unicode MS" w:hAnsi="Century" w:cstheme="minorHAnsi"/>
          <w:sz w:val="20"/>
          <w:szCs w:val="20"/>
        </w:rPr>
      </w:pPr>
      <w:r w:rsidRPr="0030192C">
        <w:rPr>
          <w:rStyle w:val="Refdenotaalpie"/>
          <w:rFonts w:ascii="Century" w:hAnsi="Century" w:cstheme="minorHAnsi"/>
          <w:sz w:val="20"/>
          <w:szCs w:val="20"/>
        </w:rPr>
        <w:footnoteRef/>
      </w:r>
      <w:r w:rsidRPr="0030192C">
        <w:rPr>
          <w:rFonts w:ascii="Century" w:hAnsi="Century" w:cstheme="minorHAnsi"/>
          <w:sz w:val="20"/>
          <w:szCs w:val="20"/>
        </w:rPr>
        <w:t xml:space="preserve"> Por ejemplo, algunos requisitos son</w:t>
      </w:r>
      <w:r w:rsidRPr="003B574E">
        <w:rPr>
          <w:rFonts w:cstheme="minorHAnsi"/>
          <w:sz w:val="20"/>
          <w:szCs w:val="20"/>
        </w:rPr>
        <w:t>:</w:t>
      </w:r>
      <w:r w:rsidRPr="0030192C">
        <w:rPr>
          <w:rFonts w:ascii="Century" w:hAnsi="Century" w:cstheme="minorHAnsi"/>
          <w:sz w:val="20"/>
          <w:szCs w:val="20"/>
        </w:rPr>
        <w:t xml:space="preserve"> en Extremadura, cuando se trate de una adquisición de participaciones en entidades societarias, el causahabiente debe de alcanzar al menos el 50 por ciento del capital social. En Asturias, </w:t>
      </w:r>
      <w:r w:rsidRPr="0030192C">
        <w:rPr>
          <w:rFonts w:ascii="Century" w:eastAsia="Arial Unicode MS" w:hAnsi="Century" w:cstheme="minorHAnsi"/>
          <w:sz w:val="20"/>
          <w:szCs w:val="20"/>
        </w:rPr>
        <w:t xml:space="preserve">el valor de la empresa individual, negocio profesional o participación en entidades no debe de exceder de cinco millones de euros. En Castilla y León, </w:t>
      </w:r>
      <w:r w:rsidRPr="0030192C">
        <w:rPr>
          <w:rFonts w:ascii="Century" w:hAnsi="Century" w:cstheme="minorHAnsi"/>
          <w:sz w:val="20"/>
          <w:szCs w:val="20"/>
        </w:rPr>
        <w:t>Cuando un mismo causante ejerza dos o más actividades de forma habitual, personal y directa, la reducción alcanzará a todos los bienes y derechos afectos a las mismas.</w:t>
      </w:r>
    </w:p>
  </w:footnote>
  <w:footnote w:id="54">
    <w:p w:rsidR="006E572A" w:rsidRPr="0030192C" w:rsidRDefault="006E572A" w:rsidP="0030192C">
      <w:pPr>
        <w:pStyle w:val="Sinespaciado"/>
        <w:spacing w:line="360" w:lineRule="auto"/>
        <w:jc w:val="both"/>
        <w:rPr>
          <w:rFonts w:ascii="Century" w:hAnsi="Century" w:cstheme="minorHAnsi"/>
          <w:sz w:val="20"/>
          <w:szCs w:val="20"/>
        </w:rPr>
      </w:pPr>
      <w:r w:rsidRPr="0030192C">
        <w:rPr>
          <w:rStyle w:val="Refdenotaalpie"/>
          <w:rFonts w:ascii="Century" w:hAnsi="Century" w:cstheme="minorHAnsi"/>
          <w:sz w:val="20"/>
          <w:szCs w:val="20"/>
        </w:rPr>
        <w:footnoteRef/>
      </w:r>
      <w:r w:rsidRPr="0030192C">
        <w:rPr>
          <w:rFonts w:ascii="Century" w:hAnsi="Century" w:cstheme="minorHAnsi"/>
          <w:sz w:val="20"/>
          <w:szCs w:val="20"/>
        </w:rPr>
        <w:t xml:space="preserve"> Por ejemplo, en Andalucía, también pueden disfrutar de la citada reducción quienes no tengan una relación de parentesco con el causante pero el adquirente mantenga en su patrimonio la explotación agraria durante los cincos años siguientes al fallecimiento del causante, así como que el adquirente tenga la condición de agricultor profesional o la obtenga en el plazo de un años desde la adquisición. En Cataluña, quienes mantengan en la fecha de la muerte del causante una relación laboral dentro de la explotación agraria, con una antigüedad mínima acreditada de diez años, o sean los titulares de la actividad agraria, con la misma antigüedad mínima acreditada.</w:t>
      </w:r>
    </w:p>
  </w:footnote>
  <w:footnote w:id="55">
    <w:p w:rsidR="006E572A" w:rsidRPr="0030192C" w:rsidRDefault="006E572A" w:rsidP="0030192C">
      <w:pPr>
        <w:pStyle w:val="Sinespaciado"/>
        <w:spacing w:line="360" w:lineRule="auto"/>
        <w:jc w:val="both"/>
        <w:rPr>
          <w:rFonts w:ascii="Century" w:hAnsi="Century" w:cstheme="minorHAnsi"/>
          <w:sz w:val="20"/>
          <w:szCs w:val="20"/>
        </w:rPr>
      </w:pPr>
      <w:r w:rsidRPr="0030192C">
        <w:rPr>
          <w:rStyle w:val="Refdenotaalpie"/>
          <w:rFonts w:ascii="Century" w:hAnsi="Century" w:cstheme="minorHAnsi"/>
          <w:sz w:val="20"/>
          <w:szCs w:val="20"/>
        </w:rPr>
        <w:footnoteRef/>
      </w:r>
      <w:r w:rsidRPr="0030192C">
        <w:rPr>
          <w:rFonts w:ascii="Century" w:hAnsi="Century" w:cstheme="minorHAnsi"/>
          <w:sz w:val="20"/>
          <w:szCs w:val="20"/>
        </w:rPr>
        <w:t xml:space="preserve"> Esta reducción consiste en que si unos mismos bienes en un período determinado son objeto de dos o más transmisiones por causa de muerte a favor de descendientes, en la segunda y ulteriores </w:t>
      </w:r>
      <w:r w:rsidRPr="0030192C">
        <w:rPr>
          <w:rFonts w:ascii="Century" w:hAnsi="Century" w:cstheme="minorHAnsi"/>
          <w:color w:val="000000"/>
          <w:sz w:val="20"/>
          <w:szCs w:val="20"/>
        </w:rPr>
        <w:t>se deducirá de la base imponible, además, el importe de lo satisfecho por el impuesto en las transmisiones precedentes.</w:t>
      </w:r>
    </w:p>
  </w:footnote>
  <w:footnote w:id="56">
    <w:p w:rsidR="006E572A" w:rsidRPr="0030192C" w:rsidRDefault="006E572A" w:rsidP="0030192C">
      <w:pPr>
        <w:pStyle w:val="Sinespaciado"/>
        <w:spacing w:line="360" w:lineRule="auto"/>
        <w:jc w:val="both"/>
        <w:rPr>
          <w:rFonts w:ascii="Century" w:hAnsi="Century" w:cstheme="minorHAnsi"/>
          <w:sz w:val="20"/>
          <w:szCs w:val="20"/>
        </w:rPr>
      </w:pPr>
      <w:r w:rsidRPr="0030192C">
        <w:rPr>
          <w:rStyle w:val="Refdenotaalpie"/>
          <w:rFonts w:ascii="Century" w:hAnsi="Century" w:cstheme="minorHAnsi"/>
          <w:sz w:val="20"/>
          <w:szCs w:val="20"/>
        </w:rPr>
        <w:footnoteRef/>
      </w:r>
      <w:r w:rsidRPr="0030192C">
        <w:rPr>
          <w:rFonts w:ascii="Century" w:hAnsi="Century" w:cstheme="minorHAnsi"/>
          <w:sz w:val="20"/>
          <w:szCs w:val="20"/>
        </w:rPr>
        <w:t xml:space="preserve"> No debemos olvidar que el ISUC es un impuesto progresivo en el que el incremento del patrimonio del beneficiario va aumentando en la misma proporción la base liquidable y, por tanto, la deuda tributaria, con el objetivo de dar una mejor distribución  de la carga tributaria.</w:t>
      </w:r>
    </w:p>
  </w:footnote>
  <w:footnote w:id="57">
    <w:p w:rsidR="006E572A" w:rsidRPr="0030192C" w:rsidRDefault="006E572A" w:rsidP="0030192C">
      <w:pPr>
        <w:pStyle w:val="Sinespaciado"/>
        <w:spacing w:line="360" w:lineRule="auto"/>
        <w:jc w:val="both"/>
        <w:rPr>
          <w:rFonts w:ascii="Century" w:hAnsi="Century" w:cstheme="minorHAnsi"/>
          <w:sz w:val="20"/>
          <w:szCs w:val="20"/>
        </w:rPr>
      </w:pPr>
      <w:r w:rsidRPr="0030192C">
        <w:rPr>
          <w:rStyle w:val="Refdenotaalpie"/>
          <w:rFonts w:ascii="Century" w:hAnsi="Century" w:cstheme="minorHAnsi"/>
          <w:sz w:val="20"/>
          <w:szCs w:val="20"/>
        </w:rPr>
        <w:footnoteRef/>
      </w:r>
      <w:r w:rsidRPr="0030192C">
        <w:rPr>
          <w:rFonts w:ascii="Century" w:hAnsi="Century" w:cstheme="minorHAnsi"/>
          <w:sz w:val="20"/>
          <w:szCs w:val="20"/>
        </w:rPr>
        <w:t xml:space="preserve"> HUESCA BOADILLA, R</w:t>
      </w:r>
      <w:r w:rsidRPr="003B574E">
        <w:rPr>
          <w:rFonts w:cstheme="minorHAnsi"/>
          <w:sz w:val="20"/>
          <w:szCs w:val="20"/>
        </w:rPr>
        <w:t>:</w:t>
      </w:r>
      <w:r w:rsidRPr="0030192C">
        <w:rPr>
          <w:rFonts w:ascii="Century" w:hAnsi="Century" w:cstheme="minorHAnsi"/>
          <w:sz w:val="20"/>
          <w:szCs w:val="20"/>
        </w:rPr>
        <w:t xml:space="preserve"> “</w:t>
      </w:r>
      <w:r w:rsidRPr="0030192C">
        <w:rPr>
          <w:rFonts w:ascii="Century" w:hAnsi="Century" w:cstheme="minorHAnsi"/>
          <w:bCs/>
          <w:color w:val="000000"/>
          <w:sz w:val="20"/>
          <w:szCs w:val="20"/>
        </w:rPr>
        <w:t xml:space="preserve">El patrimonio preexistente negativo del causahabiente como factor determinante de la cuota tributaria del Impuesto sobre Sucesiones y Donaciones”. </w:t>
      </w:r>
      <w:r w:rsidRPr="0030192C">
        <w:rPr>
          <w:rFonts w:ascii="Century" w:hAnsi="Century" w:cstheme="minorHAnsi"/>
          <w:i/>
          <w:sz w:val="20"/>
          <w:szCs w:val="20"/>
        </w:rPr>
        <w:t>Boletín Informativo Tributario BIT plus, Registradores de España</w:t>
      </w:r>
      <w:r w:rsidRPr="0030192C">
        <w:rPr>
          <w:rFonts w:ascii="Century" w:hAnsi="Century" w:cstheme="minorHAnsi"/>
          <w:sz w:val="20"/>
          <w:szCs w:val="20"/>
        </w:rPr>
        <w:t xml:space="preserve">, nº 205, 2017, p. 5. </w:t>
      </w:r>
    </w:p>
  </w:footnote>
  <w:footnote w:id="58">
    <w:p w:rsidR="006E572A" w:rsidRPr="003F7F9C" w:rsidRDefault="006E572A" w:rsidP="0030192C">
      <w:pPr>
        <w:pStyle w:val="Sinespaciado"/>
        <w:spacing w:line="360" w:lineRule="auto"/>
        <w:jc w:val="both"/>
        <w:rPr>
          <w:rFonts w:ascii="Century" w:hAnsi="Century" w:cstheme="minorHAnsi"/>
          <w:sz w:val="20"/>
          <w:szCs w:val="20"/>
        </w:rPr>
      </w:pPr>
      <w:r w:rsidRPr="003F7F9C">
        <w:rPr>
          <w:rStyle w:val="Refdenotaalpie"/>
          <w:rFonts w:ascii="Century" w:hAnsi="Century" w:cstheme="minorHAnsi"/>
          <w:sz w:val="20"/>
          <w:szCs w:val="20"/>
        </w:rPr>
        <w:footnoteRef/>
      </w:r>
      <w:r w:rsidRPr="003F7F9C">
        <w:rPr>
          <w:rFonts w:ascii="Century" w:hAnsi="Century" w:cstheme="minorHAnsi"/>
          <w:sz w:val="20"/>
          <w:szCs w:val="20"/>
        </w:rPr>
        <w:t xml:space="preserve"> Como hemos visto anteriormente, desde el 1 de enero de 2018, el ISUC será suprimido en Andalucía para parientes directos.</w:t>
      </w:r>
    </w:p>
  </w:footnote>
  <w:footnote w:id="59">
    <w:p w:rsidR="006E572A" w:rsidRPr="0030192C" w:rsidRDefault="006E572A" w:rsidP="0030192C">
      <w:pPr>
        <w:pStyle w:val="Sinespaciado"/>
        <w:spacing w:line="360" w:lineRule="auto"/>
        <w:jc w:val="both"/>
        <w:rPr>
          <w:rFonts w:ascii="Century" w:hAnsi="Century" w:cstheme="minorHAnsi"/>
          <w:sz w:val="20"/>
          <w:szCs w:val="20"/>
        </w:rPr>
      </w:pPr>
      <w:r w:rsidRPr="0030192C">
        <w:rPr>
          <w:rStyle w:val="Refdenotaalpie"/>
          <w:rFonts w:ascii="Century" w:hAnsi="Century" w:cstheme="minorHAnsi"/>
          <w:sz w:val="20"/>
          <w:szCs w:val="20"/>
        </w:rPr>
        <w:footnoteRef/>
      </w:r>
      <w:r w:rsidRPr="0030192C">
        <w:rPr>
          <w:rFonts w:ascii="Century" w:hAnsi="Century" w:cstheme="minorHAnsi"/>
          <w:sz w:val="20"/>
          <w:szCs w:val="20"/>
        </w:rPr>
        <w:t xml:space="preserve"> VARONA ALABERN, J.E</w:t>
      </w:r>
      <w:r w:rsidRPr="003B574E">
        <w:rPr>
          <w:rFonts w:cstheme="minorHAnsi"/>
          <w:sz w:val="20"/>
          <w:szCs w:val="20"/>
        </w:rPr>
        <w:t>:</w:t>
      </w:r>
      <w:r w:rsidRPr="0030192C">
        <w:rPr>
          <w:rFonts w:ascii="Century" w:hAnsi="Century" w:cstheme="minorHAnsi"/>
          <w:sz w:val="20"/>
          <w:szCs w:val="20"/>
        </w:rPr>
        <w:t xml:space="preserve"> “Razones constitucionales para la rehabilitación y la necesaria reforma del impuesto sobre sucesiones y donaciones”, </w:t>
      </w:r>
      <w:r w:rsidRPr="0030192C">
        <w:rPr>
          <w:rFonts w:ascii="Century" w:hAnsi="Century" w:cstheme="minorHAnsi"/>
          <w:i/>
          <w:sz w:val="20"/>
          <w:szCs w:val="20"/>
        </w:rPr>
        <w:t>Quincena Fiscal</w:t>
      </w:r>
      <w:r>
        <w:rPr>
          <w:rFonts w:ascii="Century" w:hAnsi="Century" w:cstheme="minorHAnsi"/>
          <w:sz w:val="20"/>
          <w:szCs w:val="20"/>
        </w:rPr>
        <w:t>, nº 16</w:t>
      </w:r>
      <w:r w:rsidRPr="0030192C">
        <w:rPr>
          <w:rFonts w:ascii="Century" w:hAnsi="Century" w:cstheme="minorHAnsi"/>
          <w:sz w:val="20"/>
          <w:szCs w:val="20"/>
        </w:rPr>
        <w:t>, 2014, p. 4.</w:t>
      </w:r>
    </w:p>
  </w:footnote>
  <w:footnote w:id="60">
    <w:p w:rsidR="006E572A" w:rsidRPr="0030192C" w:rsidRDefault="006E572A" w:rsidP="0030192C">
      <w:pPr>
        <w:pStyle w:val="Sinespaciado"/>
        <w:spacing w:line="360" w:lineRule="auto"/>
        <w:jc w:val="both"/>
        <w:rPr>
          <w:rFonts w:ascii="Century" w:hAnsi="Century" w:cstheme="minorHAnsi"/>
          <w:sz w:val="20"/>
          <w:szCs w:val="20"/>
        </w:rPr>
      </w:pPr>
      <w:r w:rsidRPr="0030192C">
        <w:rPr>
          <w:rStyle w:val="Refdenotaalpie"/>
          <w:rFonts w:ascii="Century" w:hAnsi="Century" w:cstheme="minorHAnsi"/>
          <w:sz w:val="20"/>
          <w:szCs w:val="20"/>
        </w:rPr>
        <w:footnoteRef/>
      </w:r>
      <w:r w:rsidRPr="0030192C">
        <w:rPr>
          <w:rFonts w:ascii="Century" w:hAnsi="Century" w:cstheme="minorHAnsi"/>
          <w:sz w:val="20"/>
          <w:szCs w:val="20"/>
        </w:rPr>
        <w:t xml:space="preserve"> PÉREZ ROYO, F</w:t>
      </w:r>
      <w:r w:rsidRPr="003B574E">
        <w:rPr>
          <w:rFonts w:cstheme="minorHAnsi"/>
          <w:sz w:val="20"/>
          <w:szCs w:val="20"/>
        </w:rPr>
        <w:t>:</w:t>
      </w:r>
      <w:r w:rsidRPr="0030192C">
        <w:rPr>
          <w:rFonts w:ascii="Century" w:hAnsi="Century" w:cstheme="minorHAnsi"/>
          <w:sz w:val="20"/>
          <w:szCs w:val="20"/>
        </w:rPr>
        <w:t xml:space="preserve"> “Los principios constitucionales sobre el tributo”, Ed. Aranzadi, online, 2015, p. 1.</w:t>
      </w:r>
    </w:p>
  </w:footnote>
  <w:footnote w:id="61">
    <w:p w:rsidR="006E572A" w:rsidRPr="0030192C" w:rsidRDefault="006E572A" w:rsidP="0030192C">
      <w:pPr>
        <w:pStyle w:val="Sinespaciado"/>
        <w:spacing w:line="360" w:lineRule="auto"/>
        <w:jc w:val="both"/>
        <w:rPr>
          <w:rFonts w:ascii="Century" w:hAnsi="Century" w:cstheme="minorHAnsi"/>
          <w:sz w:val="20"/>
          <w:szCs w:val="20"/>
        </w:rPr>
      </w:pPr>
      <w:r w:rsidRPr="0030192C">
        <w:rPr>
          <w:rStyle w:val="Refdenotaalpie"/>
          <w:rFonts w:ascii="Century" w:hAnsi="Century" w:cstheme="minorHAnsi"/>
          <w:sz w:val="20"/>
          <w:szCs w:val="20"/>
        </w:rPr>
        <w:footnoteRef/>
      </w:r>
      <w:r w:rsidRPr="0030192C">
        <w:rPr>
          <w:rFonts w:ascii="Century" w:hAnsi="Century" w:cstheme="minorHAnsi"/>
          <w:sz w:val="20"/>
          <w:szCs w:val="20"/>
        </w:rPr>
        <w:t xml:space="preserve"> BONELL COLMENERO, R</w:t>
      </w:r>
      <w:r w:rsidRPr="003B574E">
        <w:rPr>
          <w:rFonts w:cstheme="minorHAnsi"/>
          <w:sz w:val="20"/>
          <w:szCs w:val="20"/>
        </w:rPr>
        <w:t>:</w:t>
      </w:r>
      <w:r w:rsidRPr="0030192C">
        <w:rPr>
          <w:rFonts w:ascii="Century" w:hAnsi="Century" w:cstheme="minorHAnsi"/>
          <w:sz w:val="20"/>
          <w:szCs w:val="20"/>
        </w:rPr>
        <w:t xml:space="preserve"> “Principio de igualdad y deber de contribuir”, </w:t>
      </w:r>
      <w:r w:rsidRPr="0030192C">
        <w:rPr>
          <w:rFonts w:ascii="Century" w:hAnsi="Century" w:cstheme="minorHAnsi"/>
          <w:i/>
          <w:sz w:val="20"/>
          <w:szCs w:val="20"/>
        </w:rPr>
        <w:t>Anuario Jurídico y Económico Escurialense, XXXVIII</w:t>
      </w:r>
      <w:r w:rsidRPr="0030192C">
        <w:rPr>
          <w:rFonts w:ascii="Century" w:hAnsi="Century" w:cstheme="minorHAnsi"/>
          <w:sz w:val="20"/>
          <w:szCs w:val="20"/>
        </w:rPr>
        <w:t xml:space="preserve">, 2005, p. 188. </w:t>
      </w:r>
    </w:p>
  </w:footnote>
  <w:footnote w:id="62">
    <w:p w:rsidR="006E572A" w:rsidRPr="0030192C" w:rsidRDefault="006E572A" w:rsidP="0030192C">
      <w:pPr>
        <w:pStyle w:val="Sinespaciado"/>
        <w:spacing w:line="360" w:lineRule="auto"/>
        <w:jc w:val="both"/>
        <w:rPr>
          <w:rFonts w:ascii="Century" w:hAnsi="Century" w:cstheme="minorHAnsi"/>
          <w:sz w:val="20"/>
          <w:szCs w:val="20"/>
        </w:rPr>
      </w:pPr>
      <w:r w:rsidRPr="0030192C">
        <w:rPr>
          <w:rStyle w:val="Refdenotaalpie"/>
          <w:rFonts w:ascii="Century" w:hAnsi="Century" w:cstheme="minorHAnsi"/>
          <w:sz w:val="20"/>
          <w:szCs w:val="20"/>
        </w:rPr>
        <w:footnoteRef/>
      </w:r>
      <w:r w:rsidRPr="0030192C">
        <w:rPr>
          <w:rFonts w:ascii="Century" w:hAnsi="Century" w:cstheme="minorHAnsi"/>
          <w:sz w:val="20"/>
          <w:szCs w:val="20"/>
        </w:rPr>
        <w:t xml:space="preserve"> STC 193/2004, de 4 de noviembre. En este sentido, GARMÓN FIDALGO, J. A</w:t>
      </w:r>
      <w:r w:rsidRPr="003B574E">
        <w:rPr>
          <w:rFonts w:cstheme="minorHAnsi"/>
          <w:sz w:val="20"/>
          <w:szCs w:val="20"/>
        </w:rPr>
        <w:t>:</w:t>
      </w:r>
      <w:r w:rsidRPr="0030192C">
        <w:rPr>
          <w:rFonts w:ascii="Century" w:hAnsi="Century" w:cstheme="minorHAnsi"/>
          <w:sz w:val="20"/>
          <w:szCs w:val="20"/>
        </w:rPr>
        <w:t xml:space="preserve"> “El principio constitucional de igualdad en materia tributaria”, Ed. Aranzadi, online, 2000, pp. 3 y 4.</w:t>
      </w:r>
    </w:p>
  </w:footnote>
  <w:footnote w:id="63">
    <w:p w:rsidR="006E572A" w:rsidRPr="0030192C" w:rsidRDefault="006E572A" w:rsidP="0030192C">
      <w:pPr>
        <w:pStyle w:val="Sinespaciado"/>
        <w:spacing w:line="360" w:lineRule="auto"/>
        <w:jc w:val="both"/>
        <w:rPr>
          <w:rFonts w:ascii="Century" w:hAnsi="Century" w:cstheme="minorHAnsi"/>
          <w:sz w:val="20"/>
          <w:szCs w:val="20"/>
        </w:rPr>
      </w:pPr>
      <w:r w:rsidRPr="0030192C">
        <w:rPr>
          <w:rStyle w:val="Refdenotaalpie"/>
          <w:rFonts w:ascii="Century" w:hAnsi="Century" w:cstheme="minorHAnsi"/>
          <w:sz w:val="20"/>
          <w:szCs w:val="20"/>
        </w:rPr>
        <w:footnoteRef/>
      </w:r>
      <w:r w:rsidRPr="0030192C">
        <w:rPr>
          <w:rFonts w:ascii="Century" w:hAnsi="Century" w:cstheme="minorHAnsi"/>
          <w:sz w:val="20"/>
          <w:szCs w:val="20"/>
        </w:rPr>
        <w:t xml:space="preserve"> BARBERÁN LAHUERTA, M. A</w:t>
      </w:r>
      <w:r w:rsidRPr="003B574E">
        <w:rPr>
          <w:rFonts w:cstheme="minorHAnsi"/>
          <w:sz w:val="20"/>
          <w:szCs w:val="20"/>
        </w:rPr>
        <w:t>:</w:t>
      </w:r>
      <w:r w:rsidRPr="0030192C">
        <w:rPr>
          <w:rFonts w:ascii="Century" w:hAnsi="Century" w:cstheme="minorHAnsi"/>
          <w:sz w:val="20"/>
          <w:szCs w:val="20"/>
        </w:rPr>
        <w:t xml:space="preserve"> “El comportamiento del Impuesto sobre Sucesiones y Donaciones ante los principios básicos de la imposición”. </w:t>
      </w:r>
      <w:r w:rsidRPr="0030192C">
        <w:rPr>
          <w:rFonts w:ascii="Century" w:hAnsi="Century" w:cstheme="minorHAnsi"/>
          <w:i/>
          <w:sz w:val="20"/>
          <w:szCs w:val="20"/>
        </w:rPr>
        <w:t>Revista Asturiana de Economía,</w:t>
      </w:r>
      <w:r w:rsidRPr="0030192C">
        <w:rPr>
          <w:rFonts w:ascii="Century" w:hAnsi="Century" w:cstheme="minorHAnsi"/>
          <w:sz w:val="20"/>
          <w:szCs w:val="20"/>
        </w:rPr>
        <w:t xml:space="preserve"> nº 32, 2005, p. 95.</w:t>
      </w:r>
    </w:p>
  </w:footnote>
  <w:footnote w:id="64">
    <w:p w:rsidR="006E572A" w:rsidRPr="0030192C" w:rsidRDefault="006E572A" w:rsidP="0030192C">
      <w:pPr>
        <w:pStyle w:val="Sinespaciado"/>
        <w:spacing w:line="360" w:lineRule="auto"/>
        <w:jc w:val="both"/>
        <w:rPr>
          <w:rFonts w:ascii="Century" w:hAnsi="Century" w:cstheme="minorHAnsi"/>
          <w:i/>
          <w:sz w:val="20"/>
          <w:szCs w:val="20"/>
        </w:rPr>
      </w:pPr>
      <w:r w:rsidRPr="0030192C">
        <w:rPr>
          <w:rStyle w:val="Refdenotaalpie"/>
          <w:rFonts w:ascii="Century" w:hAnsi="Century" w:cstheme="minorHAnsi"/>
          <w:sz w:val="20"/>
          <w:szCs w:val="20"/>
        </w:rPr>
        <w:footnoteRef/>
      </w:r>
      <w:r w:rsidRPr="0030192C">
        <w:rPr>
          <w:rFonts w:ascii="Century" w:hAnsi="Century" w:cstheme="minorHAnsi"/>
          <w:sz w:val="20"/>
          <w:szCs w:val="20"/>
        </w:rPr>
        <w:t xml:space="preserve"> NÚÑEZ GRAÑÓN, M</w:t>
      </w:r>
      <w:r w:rsidRPr="003B574E">
        <w:rPr>
          <w:rFonts w:cstheme="minorHAnsi"/>
          <w:sz w:val="20"/>
          <w:szCs w:val="20"/>
        </w:rPr>
        <w:t>:</w:t>
      </w:r>
      <w:r w:rsidRPr="0030192C">
        <w:rPr>
          <w:rFonts w:ascii="Century" w:hAnsi="Century" w:cstheme="minorHAnsi"/>
          <w:sz w:val="20"/>
          <w:szCs w:val="20"/>
        </w:rPr>
        <w:t xml:space="preserve"> </w:t>
      </w:r>
      <w:r w:rsidRPr="0030192C">
        <w:rPr>
          <w:rFonts w:ascii="Century" w:hAnsi="Century" w:cstheme="minorHAnsi"/>
          <w:i/>
          <w:sz w:val="20"/>
          <w:szCs w:val="20"/>
        </w:rPr>
        <w:t xml:space="preserve">Las desigualdades tributarias por razones familiares y de </w:t>
      </w:r>
      <w:proofErr w:type="spellStart"/>
      <w:r w:rsidRPr="0030192C">
        <w:rPr>
          <w:rFonts w:ascii="Century" w:hAnsi="Century" w:cstheme="minorHAnsi"/>
          <w:i/>
          <w:sz w:val="20"/>
          <w:szCs w:val="20"/>
        </w:rPr>
        <w:t>residencia</w:t>
      </w:r>
      <w:proofErr w:type="gramStart"/>
      <w:r w:rsidRPr="0030192C">
        <w:rPr>
          <w:rFonts w:ascii="Century" w:hAnsi="Century" w:cstheme="minorHAnsi"/>
          <w:sz w:val="20"/>
          <w:szCs w:val="20"/>
        </w:rPr>
        <w:t>,Ed.Marcial</w:t>
      </w:r>
      <w:proofErr w:type="spellEnd"/>
      <w:proofErr w:type="gramEnd"/>
      <w:r w:rsidRPr="0030192C">
        <w:rPr>
          <w:rFonts w:ascii="Century" w:hAnsi="Century" w:cstheme="minorHAnsi"/>
          <w:sz w:val="20"/>
          <w:szCs w:val="20"/>
        </w:rPr>
        <w:t xml:space="preserve"> Pons,Madrid,1998,pp.121-125. </w:t>
      </w:r>
      <w:r w:rsidRPr="0030192C">
        <w:rPr>
          <w:rStyle w:val="CitaHTML"/>
          <w:rFonts w:ascii="Century" w:hAnsi="Century" w:cstheme="minorHAnsi"/>
          <w:sz w:val="20"/>
          <w:szCs w:val="20"/>
          <w:u w:val="single"/>
        </w:rPr>
        <w:t>www.revistaasturianadeeconomia.org</w:t>
      </w:r>
    </w:p>
  </w:footnote>
  <w:footnote w:id="65">
    <w:p w:rsidR="006E572A" w:rsidRPr="0030192C" w:rsidRDefault="006E572A" w:rsidP="0030192C">
      <w:pPr>
        <w:pStyle w:val="Sinespaciado"/>
        <w:spacing w:line="360" w:lineRule="auto"/>
        <w:jc w:val="both"/>
        <w:rPr>
          <w:rFonts w:ascii="Century" w:hAnsi="Century" w:cstheme="minorHAnsi"/>
          <w:sz w:val="20"/>
          <w:szCs w:val="20"/>
        </w:rPr>
      </w:pPr>
      <w:r w:rsidRPr="0030192C">
        <w:rPr>
          <w:rStyle w:val="Refdenotaalpie"/>
          <w:rFonts w:ascii="Century" w:hAnsi="Century" w:cstheme="minorHAnsi"/>
          <w:sz w:val="20"/>
          <w:szCs w:val="20"/>
        </w:rPr>
        <w:footnoteRef/>
      </w:r>
      <w:r w:rsidRPr="0030192C">
        <w:rPr>
          <w:rFonts w:ascii="Century" w:hAnsi="Century" w:cstheme="minorHAnsi"/>
          <w:sz w:val="20"/>
          <w:szCs w:val="20"/>
        </w:rPr>
        <w:t xml:space="preserve"> BARBERÁN LAHUERTA, M. A</w:t>
      </w:r>
      <w:r w:rsidRPr="003B574E">
        <w:rPr>
          <w:rFonts w:cstheme="minorHAnsi"/>
          <w:sz w:val="20"/>
          <w:szCs w:val="20"/>
        </w:rPr>
        <w:t>:</w:t>
      </w:r>
      <w:r w:rsidRPr="0030192C">
        <w:rPr>
          <w:rFonts w:ascii="Century" w:hAnsi="Century" w:cstheme="minorHAnsi"/>
          <w:sz w:val="20"/>
          <w:szCs w:val="20"/>
        </w:rPr>
        <w:t xml:space="preserve"> “El comportamiento del Impuesto sobre Sucesiones y Donaciones ante los principios básicos de la imposición”, </w:t>
      </w:r>
      <w:r w:rsidRPr="0030192C">
        <w:rPr>
          <w:rFonts w:ascii="Century" w:hAnsi="Century" w:cstheme="minorHAnsi"/>
          <w:i/>
          <w:sz w:val="20"/>
          <w:szCs w:val="20"/>
        </w:rPr>
        <w:t>ob. cit.</w:t>
      </w:r>
      <w:r w:rsidRPr="0030192C">
        <w:rPr>
          <w:rFonts w:ascii="Century" w:hAnsi="Century" w:cstheme="minorHAnsi"/>
          <w:sz w:val="20"/>
          <w:szCs w:val="20"/>
        </w:rPr>
        <w:t>, p. 98. Véase también, el Auto de 8 de mayo de 2013, Sala de lo Contencioso, Sección 7, Recurso 4209/2011 que establece que el beneficio fiscal regulado en el art. 12. bis. a) de la Ley 13/1997 de la Comunidad Valenciana provoca una situación de absoluta desigualdad entre sujetos pasivos, vulnerando la Constitución.</w:t>
      </w:r>
    </w:p>
  </w:footnote>
  <w:footnote w:id="66">
    <w:p w:rsidR="006E572A" w:rsidRPr="0030192C" w:rsidRDefault="006E572A" w:rsidP="0030192C">
      <w:pPr>
        <w:pStyle w:val="Sinespaciado"/>
        <w:spacing w:line="360" w:lineRule="auto"/>
        <w:jc w:val="both"/>
        <w:rPr>
          <w:rFonts w:ascii="Century" w:hAnsi="Century" w:cstheme="minorHAnsi"/>
          <w:sz w:val="20"/>
          <w:szCs w:val="20"/>
        </w:rPr>
      </w:pPr>
      <w:r w:rsidRPr="0030192C">
        <w:rPr>
          <w:rStyle w:val="Refdenotaalpie"/>
          <w:rFonts w:ascii="Century" w:hAnsi="Century" w:cstheme="minorHAnsi"/>
          <w:sz w:val="20"/>
          <w:szCs w:val="20"/>
        </w:rPr>
        <w:footnoteRef/>
      </w:r>
      <w:r w:rsidRPr="0030192C">
        <w:rPr>
          <w:rFonts w:ascii="Century" w:hAnsi="Century" w:cstheme="minorHAnsi"/>
          <w:sz w:val="20"/>
          <w:szCs w:val="20"/>
        </w:rPr>
        <w:t xml:space="preserve"> </w:t>
      </w:r>
      <w:r w:rsidRPr="0030192C">
        <w:rPr>
          <w:rFonts w:ascii="Century" w:hAnsi="Century" w:cstheme="minorHAnsi"/>
          <w:bCs/>
          <w:sz w:val="20"/>
          <w:szCs w:val="20"/>
        </w:rPr>
        <w:t xml:space="preserve">SÁNCHEZ </w:t>
      </w:r>
      <w:proofErr w:type="spellStart"/>
      <w:r w:rsidRPr="0030192C">
        <w:rPr>
          <w:rFonts w:ascii="Century" w:hAnsi="Century" w:cstheme="minorHAnsi"/>
          <w:bCs/>
          <w:sz w:val="20"/>
          <w:szCs w:val="20"/>
        </w:rPr>
        <w:t>SÁNCHEZ</w:t>
      </w:r>
      <w:proofErr w:type="spellEnd"/>
      <w:r w:rsidRPr="0030192C">
        <w:rPr>
          <w:rFonts w:ascii="Century" w:hAnsi="Century" w:cstheme="minorHAnsi"/>
          <w:bCs/>
          <w:sz w:val="20"/>
          <w:szCs w:val="20"/>
        </w:rPr>
        <w:t>, E. Mª</w:t>
      </w:r>
      <w:r w:rsidRPr="003B574E">
        <w:rPr>
          <w:rFonts w:cstheme="minorHAnsi"/>
          <w:bCs/>
          <w:sz w:val="20"/>
          <w:szCs w:val="20"/>
        </w:rPr>
        <w:t>:</w:t>
      </w:r>
      <w:r w:rsidRPr="0030192C">
        <w:rPr>
          <w:rFonts w:ascii="Century" w:hAnsi="Century" w:cstheme="minorHAnsi"/>
          <w:bCs/>
          <w:sz w:val="20"/>
          <w:szCs w:val="20"/>
        </w:rPr>
        <w:t xml:space="preserve"> “La desigualdad de trato en la tributación de las sucesiones y donaciones en España y la Unión Europea”, </w:t>
      </w:r>
      <w:r w:rsidRPr="0030192C">
        <w:rPr>
          <w:rFonts w:ascii="Century" w:hAnsi="Century" w:cstheme="minorHAnsi"/>
          <w:i/>
          <w:iCs/>
          <w:sz w:val="20"/>
          <w:szCs w:val="20"/>
        </w:rPr>
        <w:t>Revista de Estudios Jurídicos</w:t>
      </w:r>
      <w:r w:rsidRPr="0030192C">
        <w:rPr>
          <w:rFonts w:ascii="Century" w:hAnsi="Century" w:cstheme="minorHAnsi"/>
          <w:iCs/>
          <w:sz w:val="20"/>
          <w:szCs w:val="20"/>
        </w:rPr>
        <w:t xml:space="preserve">, </w:t>
      </w:r>
      <w:r w:rsidRPr="0030192C">
        <w:rPr>
          <w:rFonts w:ascii="Century" w:hAnsi="Century" w:cstheme="minorHAnsi"/>
          <w:sz w:val="20"/>
          <w:szCs w:val="20"/>
        </w:rPr>
        <w:t xml:space="preserve">nº15, Jaén, 2015, </w:t>
      </w:r>
      <w:r w:rsidRPr="0030192C">
        <w:rPr>
          <w:rFonts w:ascii="Century" w:hAnsi="Century" w:cstheme="minorHAnsi"/>
          <w:bCs/>
          <w:sz w:val="20"/>
          <w:szCs w:val="20"/>
        </w:rPr>
        <w:t>p.12.</w:t>
      </w:r>
      <w:r w:rsidRPr="0030192C">
        <w:rPr>
          <w:rFonts w:ascii="Century" w:hAnsi="Century" w:cstheme="minorHAnsi"/>
          <w:i/>
          <w:iCs/>
          <w:sz w:val="20"/>
          <w:szCs w:val="20"/>
        </w:rPr>
        <w:t xml:space="preserve"> </w:t>
      </w:r>
    </w:p>
  </w:footnote>
  <w:footnote w:id="67">
    <w:p w:rsidR="006E572A" w:rsidRPr="0030192C" w:rsidRDefault="006E572A" w:rsidP="0030192C">
      <w:pPr>
        <w:pStyle w:val="Sinespaciado"/>
        <w:spacing w:line="360" w:lineRule="auto"/>
        <w:jc w:val="both"/>
        <w:rPr>
          <w:rFonts w:ascii="Century" w:hAnsi="Century" w:cstheme="minorHAnsi"/>
          <w:sz w:val="20"/>
          <w:szCs w:val="20"/>
        </w:rPr>
      </w:pPr>
      <w:r w:rsidRPr="0030192C">
        <w:rPr>
          <w:rStyle w:val="Refdenotaalpie"/>
          <w:rFonts w:ascii="Century" w:hAnsi="Century" w:cstheme="minorHAnsi"/>
          <w:sz w:val="20"/>
          <w:szCs w:val="20"/>
        </w:rPr>
        <w:footnoteRef/>
      </w:r>
      <w:r w:rsidRPr="0030192C">
        <w:rPr>
          <w:rFonts w:ascii="Century" w:hAnsi="Century" w:cstheme="minorHAnsi"/>
          <w:sz w:val="20"/>
          <w:szCs w:val="20"/>
        </w:rPr>
        <w:t xml:space="preserve"> FERNÁNDEZ JUNQUERA, M</w:t>
      </w:r>
      <w:r w:rsidRPr="003B574E">
        <w:rPr>
          <w:rFonts w:cstheme="minorHAnsi"/>
          <w:sz w:val="20"/>
          <w:szCs w:val="20"/>
        </w:rPr>
        <w:t>:</w:t>
      </w:r>
      <w:r w:rsidRPr="0030192C">
        <w:rPr>
          <w:rFonts w:ascii="Century" w:hAnsi="Century" w:cstheme="minorHAnsi"/>
          <w:sz w:val="20"/>
          <w:szCs w:val="20"/>
        </w:rPr>
        <w:t xml:space="preserve"> “Acerca del Impuesto sobre Sucesiones y Donaciones, no residentes y tutela judicial. A propósito de la Sentencia del TJUE de 3 de septiembre de 2014”, </w:t>
      </w:r>
      <w:r w:rsidRPr="0030192C">
        <w:rPr>
          <w:rFonts w:ascii="Century" w:hAnsi="Century" w:cstheme="minorHAnsi"/>
          <w:i/>
          <w:sz w:val="20"/>
          <w:szCs w:val="20"/>
        </w:rPr>
        <w:t>Quincena Fiscal,</w:t>
      </w:r>
      <w:r w:rsidRPr="0030192C">
        <w:rPr>
          <w:rFonts w:ascii="Century" w:hAnsi="Century" w:cstheme="minorHAnsi"/>
          <w:sz w:val="20"/>
          <w:szCs w:val="20"/>
        </w:rPr>
        <w:t xml:space="preserve"> nº11, 2015, pp. 2 - 13.</w:t>
      </w:r>
    </w:p>
  </w:footnote>
  <w:footnote w:id="68">
    <w:p w:rsidR="006E572A" w:rsidRPr="0030192C" w:rsidRDefault="006E572A" w:rsidP="0030192C">
      <w:pPr>
        <w:pStyle w:val="Sinespaciado"/>
        <w:spacing w:line="360" w:lineRule="auto"/>
        <w:jc w:val="both"/>
        <w:rPr>
          <w:rFonts w:ascii="Century" w:hAnsi="Century" w:cstheme="minorHAnsi"/>
          <w:sz w:val="20"/>
          <w:szCs w:val="20"/>
        </w:rPr>
      </w:pPr>
      <w:r w:rsidRPr="0030192C">
        <w:rPr>
          <w:rStyle w:val="Refdenotaalpie"/>
          <w:rFonts w:ascii="Century" w:hAnsi="Century" w:cstheme="minorHAnsi"/>
          <w:sz w:val="20"/>
          <w:szCs w:val="20"/>
        </w:rPr>
        <w:footnoteRef/>
      </w:r>
      <w:r w:rsidRPr="0030192C">
        <w:rPr>
          <w:rFonts w:ascii="Century" w:hAnsi="Century" w:cstheme="minorHAnsi"/>
          <w:sz w:val="20"/>
          <w:szCs w:val="20"/>
        </w:rPr>
        <w:t xml:space="preserve"> MENÉNDEZ MORENO, A</w:t>
      </w:r>
      <w:r w:rsidRPr="003B574E">
        <w:rPr>
          <w:rFonts w:cstheme="minorHAnsi"/>
          <w:sz w:val="20"/>
          <w:szCs w:val="20"/>
        </w:rPr>
        <w:t>:</w:t>
      </w:r>
      <w:r w:rsidRPr="0030192C">
        <w:rPr>
          <w:rFonts w:ascii="Century" w:hAnsi="Century" w:cstheme="minorHAnsi"/>
          <w:sz w:val="20"/>
          <w:szCs w:val="20"/>
        </w:rPr>
        <w:t xml:space="preserve"> “¡Pobres Residentes!”, </w:t>
      </w:r>
      <w:r w:rsidRPr="0030192C">
        <w:rPr>
          <w:rFonts w:ascii="Century" w:hAnsi="Century" w:cstheme="minorHAnsi"/>
          <w:i/>
          <w:sz w:val="20"/>
          <w:szCs w:val="20"/>
        </w:rPr>
        <w:t>Quincena Fiscal</w:t>
      </w:r>
      <w:r w:rsidRPr="0030192C">
        <w:rPr>
          <w:rFonts w:ascii="Century" w:hAnsi="Century" w:cstheme="minorHAnsi"/>
          <w:sz w:val="20"/>
          <w:szCs w:val="20"/>
        </w:rPr>
        <w:t>, nº 19, 2014, p. 2.</w:t>
      </w:r>
    </w:p>
  </w:footnote>
  <w:footnote w:id="69">
    <w:p w:rsidR="006E572A" w:rsidRPr="0030192C" w:rsidRDefault="006E572A" w:rsidP="0030192C">
      <w:pPr>
        <w:pStyle w:val="Sinespaciado"/>
        <w:spacing w:line="360" w:lineRule="auto"/>
        <w:jc w:val="both"/>
        <w:rPr>
          <w:rFonts w:ascii="Century" w:hAnsi="Century" w:cstheme="minorHAnsi"/>
          <w:i/>
          <w:sz w:val="20"/>
          <w:szCs w:val="20"/>
        </w:rPr>
      </w:pPr>
      <w:r w:rsidRPr="0030192C">
        <w:rPr>
          <w:rStyle w:val="Refdenotaalpie"/>
          <w:rFonts w:ascii="Century" w:hAnsi="Century" w:cstheme="minorHAnsi"/>
          <w:sz w:val="20"/>
          <w:szCs w:val="20"/>
        </w:rPr>
        <w:footnoteRef/>
      </w:r>
      <w:r w:rsidRPr="0030192C">
        <w:rPr>
          <w:rFonts w:ascii="Century" w:hAnsi="Century" w:cstheme="minorHAnsi"/>
          <w:sz w:val="20"/>
          <w:szCs w:val="20"/>
        </w:rPr>
        <w:t xml:space="preserve"> GARCÍA PRATS, F.A</w:t>
      </w:r>
      <w:r w:rsidRPr="003B574E">
        <w:rPr>
          <w:rFonts w:cstheme="minorHAnsi"/>
          <w:sz w:val="20"/>
          <w:szCs w:val="20"/>
        </w:rPr>
        <w:t>:</w:t>
      </w:r>
      <w:r w:rsidRPr="0030192C">
        <w:rPr>
          <w:rFonts w:ascii="Century" w:hAnsi="Century" w:cstheme="minorHAnsi"/>
          <w:sz w:val="20"/>
          <w:szCs w:val="20"/>
        </w:rPr>
        <w:t xml:space="preserve"> “El Derecho de la Unión Europea ante la encrucijada sobre el Impuesto sobre Sucesiones y Donaciones español”, </w:t>
      </w:r>
      <w:r w:rsidRPr="0030192C">
        <w:rPr>
          <w:rFonts w:ascii="Century" w:hAnsi="Century" w:cstheme="minorHAnsi"/>
          <w:i/>
          <w:sz w:val="20"/>
          <w:szCs w:val="20"/>
        </w:rPr>
        <w:t>Revista Española de Derecho Financiero</w:t>
      </w:r>
      <w:r w:rsidRPr="0030192C">
        <w:rPr>
          <w:rFonts w:ascii="Century" w:hAnsi="Century" w:cstheme="minorHAnsi"/>
          <w:sz w:val="20"/>
          <w:szCs w:val="20"/>
        </w:rPr>
        <w:t xml:space="preserve">, nº 164, </w:t>
      </w:r>
      <w:proofErr w:type="spellStart"/>
      <w:r w:rsidRPr="0030192C">
        <w:rPr>
          <w:rFonts w:ascii="Century" w:hAnsi="Century" w:cstheme="minorHAnsi"/>
          <w:sz w:val="20"/>
          <w:szCs w:val="20"/>
        </w:rPr>
        <w:t>Civitas</w:t>
      </w:r>
      <w:proofErr w:type="spellEnd"/>
      <w:r w:rsidRPr="0030192C">
        <w:rPr>
          <w:rFonts w:ascii="Century" w:hAnsi="Century" w:cstheme="minorHAnsi"/>
          <w:sz w:val="20"/>
          <w:szCs w:val="20"/>
        </w:rPr>
        <w:t>, 2014, p</w:t>
      </w:r>
      <w:r>
        <w:rPr>
          <w:rFonts w:ascii="Century" w:hAnsi="Century" w:cstheme="minorHAnsi"/>
          <w:sz w:val="20"/>
          <w:szCs w:val="20"/>
        </w:rPr>
        <w:t>p</w:t>
      </w:r>
      <w:r w:rsidRPr="0030192C">
        <w:rPr>
          <w:rFonts w:ascii="Century" w:hAnsi="Century" w:cstheme="minorHAnsi"/>
          <w:sz w:val="20"/>
          <w:szCs w:val="20"/>
        </w:rPr>
        <w:t>. 22 - 25.</w:t>
      </w:r>
    </w:p>
  </w:footnote>
  <w:footnote w:id="70">
    <w:p w:rsidR="006E572A" w:rsidRPr="0030192C" w:rsidRDefault="006E572A" w:rsidP="0030192C">
      <w:pPr>
        <w:pStyle w:val="Sinespaciado"/>
        <w:spacing w:line="360" w:lineRule="auto"/>
        <w:jc w:val="both"/>
        <w:rPr>
          <w:rFonts w:ascii="Century" w:hAnsi="Century" w:cstheme="minorHAnsi"/>
          <w:sz w:val="20"/>
          <w:szCs w:val="20"/>
        </w:rPr>
      </w:pPr>
      <w:r w:rsidRPr="0030192C">
        <w:rPr>
          <w:rStyle w:val="Refdenotaalpie"/>
          <w:rFonts w:ascii="Century" w:hAnsi="Century" w:cstheme="minorHAnsi"/>
          <w:sz w:val="20"/>
          <w:szCs w:val="20"/>
        </w:rPr>
        <w:footnoteRef/>
      </w:r>
      <w:r w:rsidRPr="0030192C">
        <w:rPr>
          <w:rFonts w:ascii="Century" w:hAnsi="Century" w:cstheme="minorHAnsi"/>
          <w:sz w:val="20"/>
          <w:szCs w:val="20"/>
        </w:rPr>
        <w:t xml:space="preserve"> SARMIENTO RAMÍREZ-ESCUDERO, D</w:t>
      </w:r>
      <w:r w:rsidRPr="003B574E">
        <w:rPr>
          <w:rFonts w:cstheme="minorHAnsi"/>
          <w:sz w:val="20"/>
          <w:szCs w:val="20"/>
        </w:rPr>
        <w:t>:</w:t>
      </w:r>
      <w:r w:rsidRPr="0030192C">
        <w:rPr>
          <w:rFonts w:ascii="Century" w:hAnsi="Century" w:cstheme="minorHAnsi"/>
          <w:sz w:val="20"/>
          <w:szCs w:val="20"/>
        </w:rPr>
        <w:t xml:space="preserve"> “Los límites europeos de la autonomía fiscal en España (comentario a la Sentencia del Tribunal de Justicia de la Unión Europea en el asunto Comisión/España C-127/12, EU</w:t>
      </w:r>
      <w:proofErr w:type="gramStart"/>
      <w:r w:rsidRPr="003B574E">
        <w:rPr>
          <w:rFonts w:cstheme="minorHAnsi"/>
          <w:sz w:val="20"/>
          <w:szCs w:val="20"/>
        </w:rPr>
        <w:t>:</w:t>
      </w:r>
      <w:r w:rsidRPr="0030192C">
        <w:rPr>
          <w:rFonts w:ascii="Century" w:hAnsi="Century" w:cstheme="minorHAnsi"/>
          <w:sz w:val="20"/>
          <w:szCs w:val="20"/>
        </w:rPr>
        <w:t>C</w:t>
      </w:r>
      <w:r w:rsidRPr="003B574E">
        <w:rPr>
          <w:rFonts w:cstheme="minorHAnsi"/>
          <w:sz w:val="20"/>
          <w:szCs w:val="20"/>
        </w:rPr>
        <w:t>:</w:t>
      </w:r>
      <w:r w:rsidRPr="0030192C">
        <w:rPr>
          <w:rFonts w:ascii="Century" w:hAnsi="Century" w:cstheme="minorHAnsi"/>
          <w:sz w:val="20"/>
          <w:szCs w:val="20"/>
        </w:rPr>
        <w:t>2014</w:t>
      </w:r>
      <w:r w:rsidRPr="003B574E">
        <w:rPr>
          <w:rFonts w:cstheme="minorHAnsi"/>
          <w:sz w:val="20"/>
          <w:szCs w:val="20"/>
        </w:rPr>
        <w:t>:</w:t>
      </w:r>
      <w:r w:rsidRPr="0030192C">
        <w:rPr>
          <w:rFonts w:ascii="Century" w:hAnsi="Century" w:cstheme="minorHAnsi"/>
          <w:sz w:val="20"/>
          <w:szCs w:val="20"/>
        </w:rPr>
        <w:t>2130</w:t>
      </w:r>
      <w:proofErr w:type="gramEnd"/>
      <w:r w:rsidRPr="0030192C">
        <w:rPr>
          <w:rFonts w:ascii="Century" w:hAnsi="Century" w:cstheme="minorHAnsi"/>
          <w:sz w:val="20"/>
          <w:szCs w:val="20"/>
        </w:rPr>
        <w:t xml:space="preserve">), sobre el régimen de tributación de los no residentes en el Impuesto de Sucesiones y Donaciones”, </w:t>
      </w:r>
      <w:r w:rsidRPr="00455F8E">
        <w:rPr>
          <w:rFonts w:ascii="Century" w:hAnsi="Century" w:cstheme="minorHAnsi"/>
          <w:i/>
          <w:sz w:val="20"/>
          <w:szCs w:val="20"/>
        </w:rPr>
        <w:t>Actualidad Jurídica Uría Menéndez</w:t>
      </w:r>
      <w:r>
        <w:rPr>
          <w:rFonts w:ascii="Century" w:hAnsi="Century" w:cstheme="minorHAnsi"/>
          <w:sz w:val="20"/>
          <w:szCs w:val="20"/>
        </w:rPr>
        <w:t>,</w:t>
      </w:r>
      <w:r w:rsidRPr="0030192C">
        <w:rPr>
          <w:rFonts w:ascii="Century" w:hAnsi="Century" w:cstheme="minorHAnsi"/>
          <w:sz w:val="20"/>
          <w:szCs w:val="20"/>
        </w:rPr>
        <w:t xml:space="preserve"> nº 39, 2015, p. 142. </w:t>
      </w:r>
    </w:p>
  </w:footnote>
  <w:footnote w:id="71">
    <w:p w:rsidR="006E572A" w:rsidRPr="0030192C" w:rsidRDefault="006E572A" w:rsidP="0030192C">
      <w:pPr>
        <w:pStyle w:val="Sinespaciado"/>
        <w:spacing w:line="360" w:lineRule="auto"/>
        <w:jc w:val="both"/>
        <w:rPr>
          <w:rFonts w:ascii="Century" w:hAnsi="Century" w:cstheme="minorHAnsi"/>
          <w:sz w:val="20"/>
          <w:szCs w:val="20"/>
        </w:rPr>
      </w:pPr>
      <w:r w:rsidRPr="0030192C">
        <w:rPr>
          <w:rStyle w:val="Refdenotaalpie"/>
          <w:rFonts w:ascii="Century" w:hAnsi="Century" w:cstheme="minorHAnsi"/>
          <w:sz w:val="20"/>
          <w:szCs w:val="20"/>
        </w:rPr>
        <w:footnoteRef/>
      </w:r>
      <w:r w:rsidRPr="0030192C">
        <w:rPr>
          <w:rFonts w:ascii="Century" w:hAnsi="Century" w:cstheme="minorHAnsi"/>
          <w:sz w:val="20"/>
          <w:szCs w:val="20"/>
        </w:rPr>
        <w:t xml:space="preserve"> FERNÁNDEZ JUNQUERA, M</w:t>
      </w:r>
      <w:r w:rsidRPr="003B574E">
        <w:rPr>
          <w:rFonts w:cstheme="minorHAnsi"/>
          <w:sz w:val="20"/>
          <w:szCs w:val="20"/>
        </w:rPr>
        <w:t>:</w:t>
      </w:r>
      <w:r w:rsidRPr="0030192C">
        <w:rPr>
          <w:rFonts w:ascii="Century" w:hAnsi="Century" w:cstheme="minorHAnsi"/>
          <w:sz w:val="20"/>
          <w:szCs w:val="20"/>
        </w:rPr>
        <w:t xml:space="preserve"> “Acerca del Impuesto sobre Sucesiones y Donaciones, no residentes y tutela judicial. A propósito de la Sentencia del TJUE de 3 de septiembre de 2014”, </w:t>
      </w:r>
      <w:r w:rsidRPr="0030192C">
        <w:rPr>
          <w:rFonts w:ascii="Century" w:hAnsi="Century" w:cstheme="minorHAnsi"/>
          <w:i/>
          <w:color w:val="000000"/>
          <w:sz w:val="20"/>
          <w:szCs w:val="20"/>
        </w:rPr>
        <w:t>ob. cit.</w:t>
      </w:r>
      <w:r w:rsidRPr="0030192C">
        <w:rPr>
          <w:rFonts w:ascii="Century" w:hAnsi="Century" w:cstheme="minorHAnsi"/>
          <w:color w:val="000000"/>
          <w:sz w:val="20"/>
          <w:szCs w:val="20"/>
        </w:rPr>
        <w:t>, pp. 3 - 5.</w:t>
      </w:r>
    </w:p>
  </w:footnote>
  <w:footnote w:id="72">
    <w:p w:rsidR="006E572A" w:rsidRPr="0030192C" w:rsidRDefault="006E572A" w:rsidP="0030192C">
      <w:pPr>
        <w:pStyle w:val="Sinespaciado"/>
        <w:spacing w:line="360" w:lineRule="auto"/>
        <w:jc w:val="both"/>
        <w:rPr>
          <w:rFonts w:ascii="Century" w:hAnsi="Century" w:cstheme="minorHAnsi"/>
          <w:sz w:val="20"/>
          <w:szCs w:val="20"/>
        </w:rPr>
      </w:pPr>
      <w:r w:rsidRPr="0030192C">
        <w:rPr>
          <w:rStyle w:val="Refdenotaalpie"/>
          <w:rFonts w:ascii="Century" w:hAnsi="Century" w:cstheme="minorHAnsi"/>
          <w:sz w:val="20"/>
          <w:szCs w:val="20"/>
        </w:rPr>
        <w:footnoteRef/>
      </w:r>
      <w:r w:rsidRPr="0030192C">
        <w:rPr>
          <w:rFonts w:ascii="Century" w:hAnsi="Century" w:cstheme="minorHAnsi"/>
          <w:sz w:val="20"/>
          <w:szCs w:val="20"/>
        </w:rPr>
        <w:t xml:space="preserve"> BARCIELA PÉREZ, J.A</w:t>
      </w:r>
      <w:r w:rsidRPr="003B574E">
        <w:rPr>
          <w:rFonts w:cstheme="minorHAnsi"/>
          <w:sz w:val="20"/>
          <w:szCs w:val="20"/>
        </w:rPr>
        <w:t>:</w:t>
      </w:r>
      <w:r w:rsidRPr="0030192C">
        <w:rPr>
          <w:rFonts w:ascii="Century" w:hAnsi="Century" w:cstheme="minorHAnsi"/>
          <w:sz w:val="20"/>
          <w:szCs w:val="20"/>
        </w:rPr>
        <w:t xml:space="preserve"> “El Impuesto sobre Sucesiones y Donaciones y la libre circulación de capitales”, </w:t>
      </w:r>
      <w:r w:rsidRPr="0030192C">
        <w:rPr>
          <w:rFonts w:ascii="Century" w:hAnsi="Century" w:cstheme="minorHAnsi"/>
          <w:i/>
          <w:sz w:val="20"/>
          <w:szCs w:val="20"/>
        </w:rPr>
        <w:t>Revista Quincena Fiscal,</w:t>
      </w:r>
      <w:r w:rsidRPr="0030192C">
        <w:rPr>
          <w:rFonts w:ascii="Century" w:hAnsi="Century" w:cstheme="minorHAnsi"/>
          <w:sz w:val="20"/>
          <w:szCs w:val="20"/>
        </w:rPr>
        <w:t xml:space="preserve"> </w:t>
      </w:r>
      <w:r>
        <w:rPr>
          <w:rFonts w:ascii="Century" w:hAnsi="Century" w:cstheme="minorHAnsi"/>
          <w:sz w:val="20"/>
          <w:szCs w:val="20"/>
        </w:rPr>
        <w:t>nº6</w:t>
      </w:r>
      <w:r w:rsidRPr="0030192C">
        <w:rPr>
          <w:rFonts w:ascii="Century" w:hAnsi="Century" w:cstheme="minorHAnsi"/>
          <w:sz w:val="20"/>
          <w:szCs w:val="20"/>
        </w:rPr>
        <w:t>, 2015, p. 17.</w:t>
      </w:r>
    </w:p>
  </w:footnote>
  <w:footnote w:id="73">
    <w:p w:rsidR="006E572A" w:rsidRPr="0030192C" w:rsidRDefault="006E572A" w:rsidP="0030192C">
      <w:pPr>
        <w:pStyle w:val="Sinespaciado"/>
        <w:spacing w:line="360" w:lineRule="auto"/>
        <w:jc w:val="both"/>
        <w:rPr>
          <w:rFonts w:ascii="Century" w:hAnsi="Century" w:cstheme="minorHAnsi"/>
          <w:sz w:val="20"/>
          <w:szCs w:val="20"/>
        </w:rPr>
      </w:pPr>
      <w:r w:rsidRPr="0030192C">
        <w:rPr>
          <w:rStyle w:val="Refdenotaalpie"/>
          <w:rFonts w:ascii="Century" w:hAnsi="Century" w:cstheme="minorHAnsi"/>
          <w:sz w:val="20"/>
          <w:szCs w:val="20"/>
        </w:rPr>
        <w:footnoteRef/>
      </w:r>
      <w:r w:rsidRPr="0030192C">
        <w:rPr>
          <w:rFonts w:ascii="Century" w:hAnsi="Century" w:cstheme="minorHAnsi"/>
          <w:sz w:val="20"/>
          <w:szCs w:val="20"/>
        </w:rPr>
        <w:t xml:space="preserve"> SÁNCHEZ </w:t>
      </w:r>
      <w:proofErr w:type="spellStart"/>
      <w:r w:rsidRPr="0030192C">
        <w:rPr>
          <w:rFonts w:ascii="Century" w:hAnsi="Century" w:cstheme="minorHAnsi"/>
          <w:sz w:val="20"/>
          <w:szCs w:val="20"/>
        </w:rPr>
        <w:t>SÁNCHEZ</w:t>
      </w:r>
      <w:proofErr w:type="spellEnd"/>
      <w:r w:rsidRPr="0030192C">
        <w:rPr>
          <w:rFonts w:ascii="Century" w:hAnsi="Century" w:cstheme="minorHAnsi"/>
          <w:sz w:val="20"/>
          <w:szCs w:val="20"/>
        </w:rPr>
        <w:t>, E. Mª</w:t>
      </w:r>
      <w:r w:rsidRPr="003B574E">
        <w:rPr>
          <w:rFonts w:cstheme="minorHAnsi"/>
          <w:sz w:val="20"/>
          <w:szCs w:val="20"/>
        </w:rPr>
        <w:t>:</w:t>
      </w:r>
      <w:r w:rsidRPr="0030192C">
        <w:rPr>
          <w:rFonts w:ascii="Century" w:hAnsi="Century" w:cstheme="minorHAnsi"/>
          <w:sz w:val="20"/>
          <w:szCs w:val="20"/>
        </w:rPr>
        <w:t xml:space="preserve"> </w:t>
      </w:r>
      <w:r w:rsidRPr="0030192C">
        <w:rPr>
          <w:rFonts w:ascii="Century" w:hAnsi="Century" w:cstheme="minorHAnsi"/>
          <w:bCs/>
          <w:sz w:val="20"/>
          <w:szCs w:val="20"/>
        </w:rPr>
        <w:t xml:space="preserve">“La desigualdad de trato en la tributación de las sucesiones y donaciones en España y la Unión Europea”, </w:t>
      </w:r>
      <w:r w:rsidRPr="0030192C">
        <w:rPr>
          <w:rFonts w:ascii="Century" w:hAnsi="Century" w:cstheme="minorHAnsi"/>
          <w:bCs/>
          <w:i/>
          <w:sz w:val="20"/>
          <w:szCs w:val="20"/>
        </w:rPr>
        <w:t>ob. cit.</w:t>
      </w:r>
      <w:r w:rsidRPr="0030192C">
        <w:rPr>
          <w:rFonts w:ascii="Century" w:hAnsi="Century" w:cstheme="minorHAnsi"/>
          <w:sz w:val="20"/>
          <w:szCs w:val="20"/>
        </w:rPr>
        <w:t>, pp. 21 y 22.</w:t>
      </w:r>
    </w:p>
  </w:footnote>
  <w:footnote w:id="74">
    <w:p w:rsidR="006E572A" w:rsidRPr="0030192C" w:rsidRDefault="006E572A" w:rsidP="0030192C">
      <w:pPr>
        <w:pStyle w:val="Sinespaciado"/>
        <w:spacing w:line="360" w:lineRule="auto"/>
        <w:jc w:val="both"/>
        <w:rPr>
          <w:rFonts w:ascii="Century" w:hAnsi="Century" w:cstheme="minorHAnsi"/>
          <w:sz w:val="20"/>
          <w:szCs w:val="20"/>
        </w:rPr>
      </w:pPr>
      <w:r w:rsidRPr="0030192C">
        <w:rPr>
          <w:rStyle w:val="Refdenotaalpie"/>
          <w:rFonts w:ascii="Century" w:hAnsi="Century" w:cstheme="minorHAnsi"/>
          <w:sz w:val="20"/>
          <w:szCs w:val="20"/>
        </w:rPr>
        <w:footnoteRef/>
      </w:r>
      <w:r w:rsidRPr="0030192C">
        <w:rPr>
          <w:rFonts w:ascii="Century" w:hAnsi="Century" w:cstheme="minorHAnsi"/>
          <w:sz w:val="20"/>
          <w:szCs w:val="20"/>
        </w:rPr>
        <w:t xml:space="preserve"> SARMIENTO RODRÍGUEZ-ESCUDERO, D</w:t>
      </w:r>
      <w:r w:rsidRPr="003B574E">
        <w:rPr>
          <w:rFonts w:cstheme="minorHAnsi"/>
          <w:sz w:val="20"/>
          <w:szCs w:val="20"/>
        </w:rPr>
        <w:t>:</w:t>
      </w:r>
      <w:r w:rsidRPr="0030192C">
        <w:rPr>
          <w:rFonts w:ascii="Century" w:hAnsi="Century" w:cstheme="minorHAnsi"/>
          <w:sz w:val="20"/>
          <w:szCs w:val="20"/>
        </w:rPr>
        <w:t xml:space="preserve"> “Los límites europeos de la autonomía fiscal en España (comentario a la Sentencia del Tribunal de Justicia de la Unión Europea en el asunto Comisión/España C-127/12, EU</w:t>
      </w:r>
      <w:proofErr w:type="gramStart"/>
      <w:r w:rsidRPr="003B574E">
        <w:rPr>
          <w:rFonts w:cstheme="minorHAnsi"/>
          <w:sz w:val="20"/>
          <w:szCs w:val="20"/>
        </w:rPr>
        <w:t>:</w:t>
      </w:r>
      <w:r w:rsidRPr="0030192C">
        <w:rPr>
          <w:rFonts w:ascii="Century" w:hAnsi="Century" w:cstheme="minorHAnsi"/>
          <w:sz w:val="20"/>
          <w:szCs w:val="20"/>
        </w:rPr>
        <w:t>C</w:t>
      </w:r>
      <w:r w:rsidRPr="003B574E">
        <w:rPr>
          <w:rFonts w:cstheme="minorHAnsi"/>
          <w:sz w:val="20"/>
          <w:szCs w:val="20"/>
        </w:rPr>
        <w:t>:</w:t>
      </w:r>
      <w:r w:rsidRPr="0030192C">
        <w:rPr>
          <w:rFonts w:ascii="Century" w:hAnsi="Century" w:cstheme="minorHAnsi"/>
          <w:sz w:val="20"/>
          <w:szCs w:val="20"/>
        </w:rPr>
        <w:t>2014</w:t>
      </w:r>
      <w:r w:rsidRPr="003B574E">
        <w:rPr>
          <w:rFonts w:cstheme="minorHAnsi"/>
          <w:sz w:val="20"/>
          <w:szCs w:val="20"/>
        </w:rPr>
        <w:t>:</w:t>
      </w:r>
      <w:r w:rsidRPr="0030192C">
        <w:rPr>
          <w:rFonts w:ascii="Century" w:hAnsi="Century" w:cstheme="minorHAnsi"/>
          <w:sz w:val="20"/>
          <w:szCs w:val="20"/>
        </w:rPr>
        <w:t>2130</w:t>
      </w:r>
      <w:proofErr w:type="gramEnd"/>
      <w:r w:rsidRPr="0030192C">
        <w:rPr>
          <w:rFonts w:ascii="Century" w:hAnsi="Century" w:cstheme="minorHAnsi"/>
          <w:sz w:val="20"/>
          <w:szCs w:val="20"/>
        </w:rPr>
        <w:t xml:space="preserve">), sobre el régimen de tributación de los no residentes en el Impuesto de Sucesiones y Donaciones)”, </w:t>
      </w:r>
      <w:r w:rsidRPr="0030192C">
        <w:rPr>
          <w:rFonts w:ascii="Century" w:hAnsi="Century" w:cstheme="minorHAnsi"/>
          <w:i/>
          <w:sz w:val="20"/>
          <w:szCs w:val="20"/>
        </w:rPr>
        <w:t>ob. cit.</w:t>
      </w:r>
      <w:r w:rsidRPr="0030192C">
        <w:rPr>
          <w:rFonts w:ascii="Century" w:hAnsi="Century" w:cstheme="minorHAnsi"/>
          <w:sz w:val="20"/>
          <w:szCs w:val="20"/>
        </w:rPr>
        <w:t>, p.144.</w:t>
      </w:r>
    </w:p>
  </w:footnote>
  <w:footnote w:id="75">
    <w:p w:rsidR="006E572A" w:rsidRPr="0030192C" w:rsidRDefault="006E572A" w:rsidP="0030192C">
      <w:pPr>
        <w:pStyle w:val="Sinespaciado"/>
        <w:spacing w:line="360" w:lineRule="auto"/>
        <w:jc w:val="both"/>
        <w:rPr>
          <w:rFonts w:ascii="Century" w:hAnsi="Century" w:cstheme="minorHAnsi"/>
          <w:sz w:val="20"/>
          <w:szCs w:val="20"/>
        </w:rPr>
      </w:pPr>
      <w:r w:rsidRPr="0030192C">
        <w:rPr>
          <w:rStyle w:val="Refdenotaalpie"/>
          <w:rFonts w:ascii="Century" w:hAnsi="Century" w:cstheme="minorHAnsi"/>
          <w:sz w:val="20"/>
          <w:szCs w:val="20"/>
        </w:rPr>
        <w:footnoteRef/>
      </w:r>
      <w:r w:rsidRPr="0030192C">
        <w:rPr>
          <w:rFonts w:ascii="Century" w:hAnsi="Century" w:cstheme="minorHAnsi"/>
          <w:sz w:val="20"/>
          <w:szCs w:val="20"/>
        </w:rPr>
        <w:t xml:space="preserve"> FERNÁNDEZ JUNQUERA, M</w:t>
      </w:r>
      <w:r w:rsidRPr="003B574E">
        <w:rPr>
          <w:rFonts w:cstheme="minorHAnsi"/>
          <w:sz w:val="20"/>
          <w:szCs w:val="20"/>
        </w:rPr>
        <w:t>:</w:t>
      </w:r>
      <w:r w:rsidRPr="0030192C">
        <w:rPr>
          <w:rFonts w:ascii="Century" w:hAnsi="Century" w:cstheme="minorHAnsi"/>
          <w:sz w:val="20"/>
          <w:szCs w:val="20"/>
        </w:rPr>
        <w:t xml:space="preserve"> “Acerca del Impuesto sobre Sucesiones y Donaciones, no residentes y tutela judicial. A propósito de la Sentencia del TJUE de 3 de septiembre de 2014”, </w:t>
      </w:r>
      <w:r w:rsidRPr="0030192C">
        <w:rPr>
          <w:rFonts w:ascii="Century" w:hAnsi="Century" w:cstheme="minorHAnsi"/>
          <w:i/>
          <w:sz w:val="20"/>
          <w:szCs w:val="20"/>
        </w:rPr>
        <w:t>ob. cit.</w:t>
      </w:r>
      <w:r w:rsidRPr="0030192C">
        <w:rPr>
          <w:rFonts w:ascii="Century" w:hAnsi="Century" w:cstheme="minorHAnsi"/>
          <w:sz w:val="20"/>
          <w:szCs w:val="20"/>
        </w:rPr>
        <w:t>, p. 9. Vid. FALCÓN Y TELLA, R. en su trabajo “El Impuesto sobre Sucesiones y Donaciones y la libre circulación de capitales</w:t>
      </w:r>
      <w:r w:rsidRPr="003B574E">
        <w:rPr>
          <w:rFonts w:cstheme="minorHAnsi"/>
          <w:sz w:val="20"/>
          <w:szCs w:val="20"/>
        </w:rPr>
        <w:t>:</w:t>
      </w:r>
      <w:r w:rsidRPr="0030192C">
        <w:rPr>
          <w:rFonts w:ascii="Century" w:hAnsi="Century" w:cstheme="minorHAnsi"/>
          <w:sz w:val="20"/>
          <w:szCs w:val="20"/>
        </w:rPr>
        <w:t xml:space="preserve"> una enmienda insuficiente”, </w:t>
      </w:r>
      <w:r w:rsidRPr="0030192C">
        <w:rPr>
          <w:rFonts w:ascii="Century" w:hAnsi="Century" w:cstheme="minorHAnsi"/>
          <w:i/>
          <w:sz w:val="20"/>
          <w:szCs w:val="20"/>
        </w:rPr>
        <w:t>Quincena Fiscal</w:t>
      </w:r>
      <w:r w:rsidRPr="0030192C">
        <w:rPr>
          <w:rFonts w:ascii="Century" w:hAnsi="Century" w:cstheme="minorHAnsi"/>
          <w:sz w:val="20"/>
          <w:szCs w:val="20"/>
        </w:rPr>
        <w:t>, nº 18, 2014, pp. 9 -17.</w:t>
      </w:r>
    </w:p>
  </w:footnote>
  <w:footnote w:id="76">
    <w:p w:rsidR="006E572A" w:rsidRPr="0030192C" w:rsidRDefault="006E572A" w:rsidP="0030192C">
      <w:pPr>
        <w:pStyle w:val="Sinespaciado"/>
        <w:spacing w:line="360" w:lineRule="auto"/>
        <w:jc w:val="both"/>
        <w:rPr>
          <w:rFonts w:ascii="Century" w:hAnsi="Century" w:cstheme="minorHAnsi"/>
          <w:sz w:val="20"/>
          <w:szCs w:val="20"/>
        </w:rPr>
      </w:pPr>
      <w:r w:rsidRPr="0030192C">
        <w:rPr>
          <w:rStyle w:val="Refdenotaalpie"/>
          <w:rFonts w:ascii="Century" w:hAnsi="Century" w:cstheme="minorHAnsi"/>
          <w:sz w:val="20"/>
          <w:szCs w:val="20"/>
        </w:rPr>
        <w:footnoteRef/>
      </w:r>
      <w:r w:rsidRPr="0030192C">
        <w:rPr>
          <w:rFonts w:ascii="Century" w:hAnsi="Century" w:cstheme="minorHAnsi"/>
          <w:sz w:val="20"/>
          <w:szCs w:val="20"/>
        </w:rPr>
        <w:t xml:space="preserve"> SÁNCHEZ </w:t>
      </w:r>
      <w:proofErr w:type="spellStart"/>
      <w:r w:rsidRPr="0030192C">
        <w:rPr>
          <w:rFonts w:ascii="Century" w:hAnsi="Century" w:cstheme="minorHAnsi"/>
          <w:sz w:val="20"/>
          <w:szCs w:val="20"/>
        </w:rPr>
        <w:t>SÁNCHEZ</w:t>
      </w:r>
      <w:proofErr w:type="spellEnd"/>
      <w:r w:rsidRPr="0030192C">
        <w:rPr>
          <w:rFonts w:ascii="Century" w:hAnsi="Century" w:cstheme="minorHAnsi"/>
          <w:sz w:val="20"/>
          <w:szCs w:val="20"/>
        </w:rPr>
        <w:t>, E. Mª</w:t>
      </w:r>
      <w:r w:rsidRPr="003B574E">
        <w:rPr>
          <w:rFonts w:cstheme="minorHAnsi"/>
          <w:sz w:val="20"/>
          <w:szCs w:val="20"/>
        </w:rPr>
        <w:t>:</w:t>
      </w:r>
      <w:r w:rsidRPr="0030192C">
        <w:rPr>
          <w:rFonts w:ascii="Century" w:hAnsi="Century" w:cstheme="minorHAnsi"/>
          <w:sz w:val="20"/>
          <w:szCs w:val="20"/>
        </w:rPr>
        <w:t xml:space="preserve"> </w:t>
      </w:r>
      <w:r w:rsidRPr="0030192C">
        <w:rPr>
          <w:rFonts w:ascii="Century" w:hAnsi="Century" w:cstheme="minorHAnsi"/>
          <w:bCs/>
          <w:sz w:val="20"/>
          <w:szCs w:val="20"/>
        </w:rPr>
        <w:t xml:space="preserve">“La desigualdad de trato en la tributación de las sucesiones y donaciones en España y la Unión Europea”, </w:t>
      </w:r>
      <w:r w:rsidRPr="0030192C">
        <w:rPr>
          <w:rFonts w:ascii="Century" w:hAnsi="Century" w:cstheme="minorHAnsi"/>
          <w:bCs/>
          <w:i/>
          <w:sz w:val="20"/>
          <w:szCs w:val="20"/>
        </w:rPr>
        <w:t>ob. cit.</w:t>
      </w:r>
      <w:r w:rsidRPr="0030192C">
        <w:rPr>
          <w:rFonts w:ascii="Century" w:hAnsi="Century" w:cstheme="minorHAnsi"/>
          <w:bCs/>
          <w:sz w:val="20"/>
          <w:szCs w:val="20"/>
        </w:rPr>
        <w:t>,</w:t>
      </w:r>
      <w:r w:rsidRPr="0030192C">
        <w:rPr>
          <w:rFonts w:ascii="Century" w:hAnsi="Century" w:cstheme="minorHAnsi"/>
          <w:sz w:val="20"/>
          <w:szCs w:val="20"/>
        </w:rPr>
        <w:t xml:space="preserve"> p. 22.</w:t>
      </w:r>
    </w:p>
  </w:footnote>
  <w:footnote w:id="77">
    <w:p w:rsidR="006E572A" w:rsidRPr="0030192C" w:rsidRDefault="006E572A" w:rsidP="00457919">
      <w:pPr>
        <w:pStyle w:val="Sinespaciado"/>
        <w:spacing w:line="360" w:lineRule="auto"/>
        <w:jc w:val="both"/>
        <w:rPr>
          <w:rFonts w:ascii="Century" w:hAnsi="Century" w:cstheme="minorHAnsi"/>
          <w:sz w:val="20"/>
          <w:szCs w:val="20"/>
        </w:rPr>
      </w:pPr>
      <w:r w:rsidRPr="0030192C">
        <w:rPr>
          <w:rStyle w:val="Refdenotaalpie"/>
          <w:rFonts w:ascii="Century" w:hAnsi="Century" w:cstheme="minorHAnsi"/>
          <w:sz w:val="20"/>
          <w:szCs w:val="20"/>
        </w:rPr>
        <w:footnoteRef/>
      </w:r>
      <w:r w:rsidRPr="0030192C">
        <w:rPr>
          <w:rFonts w:ascii="Century" w:hAnsi="Century" w:cstheme="minorHAnsi"/>
          <w:sz w:val="20"/>
          <w:szCs w:val="20"/>
        </w:rPr>
        <w:t xml:space="preserve"> GARCÍA DE PABLOS, J. F</w:t>
      </w:r>
      <w:r w:rsidRPr="003B574E">
        <w:rPr>
          <w:rFonts w:cstheme="minorHAnsi"/>
          <w:sz w:val="20"/>
          <w:szCs w:val="20"/>
        </w:rPr>
        <w:t>:</w:t>
      </w:r>
      <w:r w:rsidRPr="0030192C">
        <w:rPr>
          <w:rFonts w:ascii="Century" w:hAnsi="Century" w:cstheme="minorHAnsi"/>
          <w:sz w:val="20"/>
          <w:szCs w:val="20"/>
        </w:rPr>
        <w:t xml:space="preserve"> “Encuentro de derecho financiero y tributario (3ª edición)</w:t>
      </w:r>
      <w:r w:rsidRPr="003B574E">
        <w:rPr>
          <w:rFonts w:cstheme="minorHAnsi"/>
          <w:sz w:val="20"/>
          <w:szCs w:val="20"/>
        </w:rPr>
        <w:t>:</w:t>
      </w:r>
      <w:r w:rsidRPr="0030192C">
        <w:rPr>
          <w:rFonts w:ascii="Century" w:hAnsi="Century" w:cstheme="minorHAnsi"/>
          <w:sz w:val="20"/>
          <w:szCs w:val="20"/>
        </w:rPr>
        <w:t xml:space="preserve"> “La reforma del sistema tributario español” (3ª parte)”, </w:t>
      </w:r>
      <w:r w:rsidRPr="0030192C">
        <w:rPr>
          <w:rFonts w:ascii="Century" w:hAnsi="Century" w:cstheme="minorHAnsi"/>
          <w:i/>
          <w:sz w:val="20"/>
          <w:szCs w:val="20"/>
        </w:rPr>
        <w:t>Instituto de Estudios Fiscales</w:t>
      </w:r>
      <w:r w:rsidRPr="0030192C">
        <w:rPr>
          <w:rFonts w:ascii="Century" w:hAnsi="Century" w:cstheme="minorHAnsi"/>
          <w:sz w:val="20"/>
          <w:szCs w:val="20"/>
        </w:rPr>
        <w:t>, nº11, 2015, pp. 13 - 17.</w:t>
      </w:r>
    </w:p>
  </w:footnote>
  <w:footnote w:id="78">
    <w:p w:rsidR="006E572A" w:rsidRPr="0030192C" w:rsidRDefault="006E572A" w:rsidP="00457919">
      <w:pPr>
        <w:pStyle w:val="Sinespaciado"/>
        <w:spacing w:line="360" w:lineRule="auto"/>
        <w:jc w:val="both"/>
        <w:rPr>
          <w:rFonts w:ascii="Century" w:hAnsi="Century" w:cstheme="minorHAnsi"/>
          <w:bCs/>
          <w:sz w:val="20"/>
          <w:szCs w:val="20"/>
        </w:rPr>
      </w:pPr>
      <w:r w:rsidRPr="0030192C">
        <w:rPr>
          <w:rStyle w:val="Refdenotaalpie"/>
          <w:rFonts w:ascii="Century" w:hAnsi="Century" w:cstheme="minorHAnsi"/>
          <w:sz w:val="20"/>
          <w:szCs w:val="20"/>
        </w:rPr>
        <w:footnoteRef/>
      </w:r>
      <w:r w:rsidRPr="0030192C">
        <w:rPr>
          <w:rFonts w:ascii="Century" w:hAnsi="Century" w:cstheme="minorHAnsi"/>
          <w:sz w:val="20"/>
          <w:szCs w:val="20"/>
        </w:rPr>
        <w:t xml:space="preserve"> </w:t>
      </w:r>
      <w:r w:rsidRPr="0030192C">
        <w:rPr>
          <w:rFonts w:ascii="Century" w:hAnsi="Century" w:cstheme="minorHAnsi"/>
          <w:bCs/>
          <w:sz w:val="20"/>
          <w:szCs w:val="20"/>
        </w:rPr>
        <w:t>GARCÍA DE PABLOS, J. F</w:t>
      </w:r>
      <w:r w:rsidRPr="003B574E">
        <w:rPr>
          <w:rFonts w:cstheme="minorHAnsi"/>
          <w:bCs/>
          <w:sz w:val="20"/>
          <w:szCs w:val="20"/>
        </w:rPr>
        <w:t>:</w:t>
      </w:r>
      <w:r w:rsidRPr="0030192C">
        <w:rPr>
          <w:rFonts w:ascii="Century" w:hAnsi="Century" w:cstheme="minorHAnsi"/>
          <w:bCs/>
          <w:sz w:val="20"/>
          <w:szCs w:val="20"/>
        </w:rPr>
        <w:t xml:space="preserve"> “La reforma de la imposición patrimonial en España”. </w:t>
      </w:r>
      <w:r w:rsidRPr="0030192C">
        <w:rPr>
          <w:rFonts w:ascii="Century" w:hAnsi="Century" w:cstheme="minorHAnsi"/>
          <w:bCs/>
          <w:i/>
          <w:sz w:val="20"/>
          <w:szCs w:val="20"/>
        </w:rPr>
        <w:t>Revista Aranzadi Doctrinal</w:t>
      </w:r>
      <w:r>
        <w:rPr>
          <w:rFonts w:ascii="Century" w:hAnsi="Century" w:cstheme="minorHAnsi"/>
          <w:bCs/>
          <w:sz w:val="20"/>
          <w:szCs w:val="20"/>
        </w:rPr>
        <w:t>, nº 11</w:t>
      </w:r>
      <w:r w:rsidRPr="0030192C">
        <w:rPr>
          <w:rFonts w:ascii="Century" w:hAnsi="Century" w:cstheme="minorHAnsi"/>
          <w:bCs/>
          <w:sz w:val="20"/>
          <w:szCs w:val="20"/>
        </w:rPr>
        <w:t xml:space="preserve">, 2014, pp. 10 y 11. </w:t>
      </w:r>
    </w:p>
  </w:footnote>
  <w:footnote w:id="79">
    <w:p w:rsidR="006E572A" w:rsidRPr="0030192C" w:rsidRDefault="006E572A" w:rsidP="0030192C">
      <w:pPr>
        <w:pStyle w:val="Sinespaciado"/>
        <w:spacing w:line="360" w:lineRule="auto"/>
        <w:jc w:val="both"/>
        <w:rPr>
          <w:rFonts w:ascii="Century" w:hAnsi="Century" w:cstheme="minorHAnsi"/>
          <w:b/>
          <w:sz w:val="20"/>
          <w:szCs w:val="20"/>
        </w:rPr>
      </w:pPr>
      <w:r w:rsidRPr="0030192C">
        <w:rPr>
          <w:rStyle w:val="Refdenotaalpie"/>
          <w:rFonts w:ascii="Century" w:hAnsi="Century" w:cstheme="minorHAnsi"/>
          <w:sz w:val="20"/>
          <w:szCs w:val="20"/>
        </w:rPr>
        <w:footnoteRef/>
      </w:r>
      <w:r w:rsidRPr="0030192C">
        <w:rPr>
          <w:rFonts w:ascii="Century" w:hAnsi="Century" w:cstheme="minorHAnsi"/>
          <w:sz w:val="20"/>
          <w:szCs w:val="20"/>
        </w:rPr>
        <w:t xml:space="preserve"> PÉREZ-BUSTAMANTE YÁBAR, D y DÍAZ GARCÍA, H</w:t>
      </w:r>
      <w:r w:rsidRPr="003B574E">
        <w:rPr>
          <w:rFonts w:cstheme="minorHAnsi"/>
          <w:sz w:val="20"/>
          <w:szCs w:val="20"/>
        </w:rPr>
        <w:t>:</w:t>
      </w:r>
      <w:r w:rsidRPr="0030192C">
        <w:rPr>
          <w:rFonts w:ascii="Century" w:hAnsi="Century" w:cstheme="minorHAnsi"/>
          <w:sz w:val="20"/>
          <w:szCs w:val="20"/>
        </w:rPr>
        <w:t xml:space="preserve"> “Implicaciones en el tratamiento legislativo del ISD tras la sentencia del tribunal de justicia de la Unión Europea, de 3 de Septiembre de 2014”, </w:t>
      </w:r>
      <w:hyperlink r:id="rId2" w:history="1">
        <w:r w:rsidRPr="0030192C">
          <w:rPr>
            <w:rStyle w:val="Hipervnculo"/>
            <w:rFonts w:ascii="Century" w:hAnsi="Century" w:cstheme="minorHAnsi"/>
            <w:i/>
            <w:color w:val="auto"/>
            <w:sz w:val="20"/>
            <w:szCs w:val="20"/>
            <w:u w:val="none"/>
          </w:rPr>
          <w:t>Quincena fiscal</w:t>
        </w:r>
      </w:hyperlink>
      <w:r w:rsidRPr="0030192C">
        <w:rPr>
          <w:rFonts w:ascii="Century" w:hAnsi="Century" w:cstheme="minorHAnsi"/>
          <w:sz w:val="20"/>
          <w:szCs w:val="20"/>
        </w:rPr>
        <w:t xml:space="preserve">, </w:t>
      </w:r>
      <w:hyperlink r:id="rId3" w:history="1">
        <w:r w:rsidRPr="0030192C">
          <w:rPr>
            <w:rStyle w:val="Hipervnculo"/>
            <w:rFonts w:ascii="Century" w:hAnsi="Century" w:cstheme="minorHAnsi"/>
            <w:color w:val="auto"/>
            <w:sz w:val="20"/>
            <w:szCs w:val="20"/>
            <w:u w:val="none"/>
          </w:rPr>
          <w:t>nº 13, 2015</w:t>
        </w:r>
      </w:hyperlink>
      <w:r w:rsidRPr="0030192C">
        <w:rPr>
          <w:rFonts w:ascii="Century" w:hAnsi="Century" w:cstheme="minorHAnsi"/>
          <w:sz w:val="20"/>
          <w:szCs w:val="20"/>
        </w:rPr>
        <w:t>, pp. 6 y 7.</w:t>
      </w:r>
    </w:p>
  </w:footnote>
  <w:footnote w:id="80">
    <w:p w:rsidR="006E572A" w:rsidRPr="0030192C" w:rsidRDefault="006E572A" w:rsidP="0030192C">
      <w:pPr>
        <w:pStyle w:val="Sinespaciado"/>
        <w:spacing w:line="360" w:lineRule="auto"/>
        <w:jc w:val="both"/>
        <w:rPr>
          <w:rFonts w:ascii="Century" w:hAnsi="Century" w:cstheme="minorHAnsi"/>
          <w:sz w:val="20"/>
          <w:szCs w:val="20"/>
        </w:rPr>
      </w:pPr>
      <w:r w:rsidRPr="0030192C">
        <w:rPr>
          <w:rStyle w:val="Refdenotaalpie"/>
          <w:rFonts w:ascii="Century" w:hAnsi="Century" w:cstheme="minorHAnsi"/>
          <w:sz w:val="20"/>
          <w:szCs w:val="20"/>
        </w:rPr>
        <w:footnoteRef/>
      </w:r>
      <w:r w:rsidRPr="0030192C">
        <w:rPr>
          <w:rFonts w:ascii="Century" w:hAnsi="Century" w:cstheme="minorHAnsi"/>
          <w:sz w:val="20"/>
          <w:szCs w:val="20"/>
        </w:rPr>
        <w:t xml:space="preserve"> BORRÁS, A y PELISÉ, C</w:t>
      </w:r>
      <w:r w:rsidRPr="003B574E">
        <w:rPr>
          <w:rFonts w:cstheme="minorHAnsi"/>
          <w:sz w:val="20"/>
          <w:szCs w:val="20"/>
        </w:rPr>
        <w:t>:</w:t>
      </w:r>
      <w:r w:rsidRPr="0030192C">
        <w:rPr>
          <w:rFonts w:ascii="Century" w:hAnsi="Century" w:cstheme="minorHAnsi"/>
          <w:sz w:val="20"/>
          <w:szCs w:val="20"/>
        </w:rPr>
        <w:t xml:space="preserve"> “Jurisprudencia del Tribunal de Justicia de la Unión Europea”, </w:t>
      </w:r>
      <w:r w:rsidRPr="0030192C">
        <w:rPr>
          <w:rFonts w:ascii="Century" w:hAnsi="Century" w:cstheme="minorHAnsi"/>
          <w:i/>
          <w:sz w:val="20"/>
          <w:szCs w:val="20"/>
        </w:rPr>
        <w:t>Revista jurídica de Catalunya</w:t>
      </w:r>
      <w:r w:rsidRPr="0030192C">
        <w:rPr>
          <w:rFonts w:ascii="Century" w:hAnsi="Century" w:cstheme="minorHAnsi"/>
          <w:sz w:val="20"/>
          <w:szCs w:val="20"/>
        </w:rPr>
        <w:t xml:space="preserve">, nº1, 2015, p. 238. </w:t>
      </w:r>
      <w:r w:rsidRPr="0030192C">
        <w:rPr>
          <w:rFonts w:ascii="Century" w:hAnsi="Century" w:cstheme="minorHAnsi"/>
          <w:i/>
          <w:sz w:val="20"/>
          <w:szCs w:val="20"/>
          <w:u w:val="single"/>
        </w:rPr>
        <w:t>www.economistjurist.es</w:t>
      </w:r>
    </w:p>
  </w:footnote>
  <w:footnote w:id="81">
    <w:p w:rsidR="006E572A" w:rsidRPr="0030192C" w:rsidRDefault="006E572A" w:rsidP="0030192C">
      <w:pPr>
        <w:pStyle w:val="Sinespaciado"/>
        <w:spacing w:line="360" w:lineRule="auto"/>
        <w:jc w:val="both"/>
        <w:rPr>
          <w:rFonts w:ascii="Century" w:hAnsi="Century" w:cstheme="minorHAnsi"/>
          <w:sz w:val="20"/>
          <w:szCs w:val="20"/>
        </w:rPr>
      </w:pPr>
      <w:r w:rsidRPr="0030192C">
        <w:rPr>
          <w:rStyle w:val="Refdenotaalpie"/>
          <w:rFonts w:ascii="Century" w:hAnsi="Century" w:cstheme="minorHAnsi"/>
          <w:sz w:val="20"/>
          <w:szCs w:val="20"/>
        </w:rPr>
        <w:footnoteRef/>
      </w:r>
      <w:r w:rsidRPr="0030192C">
        <w:rPr>
          <w:rFonts w:ascii="Century" w:hAnsi="Century" w:cstheme="minorHAnsi"/>
          <w:sz w:val="20"/>
          <w:szCs w:val="20"/>
        </w:rPr>
        <w:t xml:space="preserve"> SÁNCHEZ </w:t>
      </w:r>
      <w:proofErr w:type="spellStart"/>
      <w:r w:rsidRPr="0030192C">
        <w:rPr>
          <w:rFonts w:ascii="Century" w:hAnsi="Century" w:cstheme="minorHAnsi"/>
          <w:sz w:val="20"/>
          <w:szCs w:val="20"/>
        </w:rPr>
        <w:t>SÁNCHEZ</w:t>
      </w:r>
      <w:proofErr w:type="spellEnd"/>
      <w:r w:rsidRPr="0030192C">
        <w:rPr>
          <w:rFonts w:ascii="Century" w:hAnsi="Century" w:cstheme="minorHAnsi"/>
          <w:sz w:val="20"/>
          <w:szCs w:val="20"/>
        </w:rPr>
        <w:t>, E. Mª</w:t>
      </w:r>
      <w:r w:rsidRPr="003B574E">
        <w:rPr>
          <w:rFonts w:cstheme="minorHAnsi"/>
          <w:sz w:val="20"/>
          <w:szCs w:val="20"/>
        </w:rPr>
        <w:t>:</w:t>
      </w:r>
      <w:r w:rsidRPr="0030192C">
        <w:rPr>
          <w:rFonts w:ascii="Century" w:hAnsi="Century" w:cstheme="minorHAnsi"/>
          <w:sz w:val="20"/>
          <w:szCs w:val="20"/>
        </w:rPr>
        <w:t xml:space="preserve"> </w:t>
      </w:r>
      <w:r w:rsidRPr="0030192C">
        <w:rPr>
          <w:rFonts w:ascii="Century" w:hAnsi="Century" w:cstheme="minorHAnsi"/>
          <w:bCs/>
          <w:sz w:val="20"/>
          <w:szCs w:val="20"/>
        </w:rPr>
        <w:t>“La desigualdad de trato en la tributación de las sucesiones y donaciones en España y la Unión Europea”</w:t>
      </w:r>
      <w:r w:rsidRPr="0030192C">
        <w:rPr>
          <w:rFonts w:ascii="Century" w:hAnsi="Century" w:cstheme="minorHAnsi"/>
          <w:sz w:val="20"/>
          <w:szCs w:val="20"/>
        </w:rPr>
        <w:t xml:space="preserve">, </w:t>
      </w:r>
      <w:r w:rsidRPr="0030192C">
        <w:rPr>
          <w:rFonts w:ascii="Century" w:hAnsi="Century" w:cstheme="minorHAnsi"/>
          <w:i/>
          <w:sz w:val="20"/>
          <w:szCs w:val="20"/>
        </w:rPr>
        <w:t>ob. cit.</w:t>
      </w:r>
      <w:r w:rsidRPr="0030192C">
        <w:rPr>
          <w:rFonts w:ascii="Century" w:hAnsi="Century" w:cstheme="minorHAnsi"/>
          <w:sz w:val="20"/>
          <w:szCs w:val="20"/>
        </w:rPr>
        <w:t>, p. 20.</w:t>
      </w:r>
    </w:p>
  </w:footnote>
  <w:footnote w:id="82">
    <w:p w:rsidR="006E572A" w:rsidRPr="0030192C" w:rsidRDefault="006E572A" w:rsidP="0030192C">
      <w:pPr>
        <w:pStyle w:val="Sinespaciado"/>
        <w:spacing w:line="360" w:lineRule="auto"/>
        <w:jc w:val="both"/>
        <w:rPr>
          <w:rFonts w:ascii="Century" w:hAnsi="Century" w:cstheme="minorHAnsi"/>
          <w:sz w:val="20"/>
          <w:szCs w:val="20"/>
        </w:rPr>
      </w:pPr>
      <w:r w:rsidRPr="0030192C">
        <w:rPr>
          <w:rStyle w:val="Refdenotaalpie"/>
          <w:rFonts w:ascii="Century" w:hAnsi="Century" w:cstheme="minorHAnsi"/>
          <w:sz w:val="20"/>
          <w:szCs w:val="20"/>
        </w:rPr>
        <w:footnoteRef/>
      </w:r>
      <w:r w:rsidRPr="0030192C">
        <w:rPr>
          <w:rFonts w:ascii="Century" w:hAnsi="Century" w:cstheme="minorHAnsi"/>
          <w:sz w:val="20"/>
          <w:szCs w:val="20"/>
        </w:rPr>
        <w:t xml:space="preserve"> PÉREZ-BUSTAMANTE YÁBAR, D y DÍAZ GARCÍA, H</w:t>
      </w:r>
      <w:r w:rsidRPr="003B574E">
        <w:rPr>
          <w:rFonts w:cstheme="minorHAnsi"/>
          <w:sz w:val="20"/>
          <w:szCs w:val="20"/>
        </w:rPr>
        <w:t>:</w:t>
      </w:r>
      <w:r w:rsidRPr="0030192C">
        <w:rPr>
          <w:rFonts w:ascii="Century" w:hAnsi="Century" w:cstheme="minorHAnsi"/>
          <w:sz w:val="20"/>
          <w:szCs w:val="20"/>
        </w:rPr>
        <w:t xml:space="preserve"> “Implicaciones en el tratamiento legislativo del ISD tras la sentencia del Tribunal de Justicia de la Unión Europea, de 3 de septiembre de 2014”, </w:t>
      </w:r>
      <w:r w:rsidRPr="0030192C">
        <w:rPr>
          <w:rFonts w:ascii="Century" w:hAnsi="Century" w:cstheme="minorHAnsi"/>
          <w:i/>
          <w:sz w:val="20"/>
          <w:szCs w:val="20"/>
        </w:rPr>
        <w:t>ob. cit.</w:t>
      </w:r>
      <w:r w:rsidRPr="0030192C">
        <w:rPr>
          <w:rFonts w:ascii="Century" w:hAnsi="Century" w:cstheme="minorHAnsi"/>
          <w:sz w:val="20"/>
          <w:szCs w:val="20"/>
        </w:rPr>
        <w:t>, p. 6.</w:t>
      </w:r>
    </w:p>
  </w:footnote>
  <w:footnote w:id="83">
    <w:p w:rsidR="006E572A" w:rsidRPr="0030192C" w:rsidRDefault="006E572A" w:rsidP="0030192C">
      <w:pPr>
        <w:pStyle w:val="Sinespaciado"/>
        <w:spacing w:line="360" w:lineRule="auto"/>
        <w:jc w:val="both"/>
        <w:rPr>
          <w:rFonts w:ascii="Century" w:hAnsi="Century" w:cstheme="minorHAnsi"/>
          <w:sz w:val="20"/>
          <w:szCs w:val="20"/>
        </w:rPr>
      </w:pPr>
      <w:r w:rsidRPr="0030192C">
        <w:rPr>
          <w:rStyle w:val="Refdenotaalpie"/>
          <w:rFonts w:ascii="Century" w:hAnsi="Century" w:cstheme="minorHAnsi"/>
          <w:sz w:val="20"/>
          <w:szCs w:val="20"/>
        </w:rPr>
        <w:footnoteRef/>
      </w:r>
      <w:r w:rsidRPr="0030192C">
        <w:rPr>
          <w:rFonts w:ascii="Century" w:hAnsi="Century" w:cstheme="minorHAnsi"/>
          <w:sz w:val="20"/>
          <w:szCs w:val="20"/>
        </w:rPr>
        <w:t xml:space="preserve"> SANZ GÓMEZ, R</w:t>
      </w:r>
      <w:r w:rsidRPr="003B574E">
        <w:rPr>
          <w:rFonts w:cstheme="minorHAnsi"/>
          <w:sz w:val="20"/>
          <w:szCs w:val="20"/>
        </w:rPr>
        <w:t>:</w:t>
      </w:r>
      <w:r w:rsidRPr="0030192C">
        <w:rPr>
          <w:rFonts w:ascii="Century" w:hAnsi="Century" w:cstheme="minorHAnsi"/>
          <w:sz w:val="20"/>
          <w:szCs w:val="20"/>
        </w:rPr>
        <w:t xml:space="preserve"> </w:t>
      </w:r>
      <w:r w:rsidRPr="0030192C">
        <w:rPr>
          <w:rFonts w:ascii="Century" w:hAnsi="Century" w:cstheme="minorHAnsi"/>
          <w:i/>
          <w:sz w:val="20"/>
          <w:szCs w:val="20"/>
        </w:rPr>
        <w:t>Evaluación del Sistema Tributario Vigente. Propuestas de Mejora en la Regulación de los Distintos Impuestos</w:t>
      </w:r>
      <w:r w:rsidRPr="0030192C">
        <w:rPr>
          <w:rFonts w:ascii="Century" w:hAnsi="Century" w:cstheme="minorHAnsi"/>
          <w:sz w:val="20"/>
          <w:szCs w:val="20"/>
        </w:rPr>
        <w:t>, Ed. Aranzadi, Pamplona, 2013, pp. 407 y 408.</w:t>
      </w:r>
    </w:p>
  </w:footnote>
  <w:footnote w:id="84">
    <w:p w:rsidR="006E572A" w:rsidRPr="0030192C" w:rsidRDefault="006E572A" w:rsidP="0030192C">
      <w:pPr>
        <w:pStyle w:val="Sinespaciado"/>
        <w:spacing w:line="360" w:lineRule="auto"/>
        <w:jc w:val="both"/>
        <w:rPr>
          <w:rFonts w:ascii="Century" w:hAnsi="Century" w:cstheme="minorHAnsi"/>
          <w:sz w:val="20"/>
          <w:szCs w:val="20"/>
        </w:rPr>
      </w:pPr>
      <w:r w:rsidRPr="0030192C">
        <w:rPr>
          <w:rStyle w:val="Refdenotaalpie"/>
          <w:rFonts w:ascii="Century" w:hAnsi="Century" w:cstheme="minorHAnsi"/>
          <w:sz w:val="20"/>
          <w:szCs w:val="20"/>
        </w:rPr>
        <w:footnoteRef/>
      </w:r>
      <w:r w:rsidRPr="0030192C">
        <w:rPr>
          <w:rFonts w:ascii="Century" w:hAnsi="Century" w:cstheme="minorHAnsi"/>
          <w:sz w:val="20"/>
          <w:szCs w:val="20"/>
        </w:rPr>
        <w:t xml:space="preserve"> Informe de la Comisión de Expertos para la Reforma del Sistema Tributario Español, Madrid, 2014, pp. 249 - 253.</w:t>
      </w:r>
    </w:p>
  </w:footnote>
  <w:footnote w:id="85">
    <w:p w:rsidR="006E572A" w:rsidRPr="0030192C" w:rsidRDefault="006E572A" w:rsidP="0030192C">
      <w:pPr>
        <w:pStyle w:val="Sinespaciado"/>
        <w:spacing w:line="360" w:lineRule="auto"/>
        <w:jc w:val="both"/>
        <w:rPr>
          <w:rFonts w:ascii="Century" w:hAnsi="Century" w:cstheme="minorHAnsi"/>
          <w:sz w:val="20"/>
          <w:szCs w:val="20"/>
        </w:rPr>
      </w:pPr>
      <w:r w:rsidRPr="0030192C">
        <w:rPr>
          <w:rStyle w:val="Refdenotaalpie"/>
          <w:rFonts w:ascii="Century" w:hAnsi="Century" w:cstheme="minorHAnsi"/>
          <w:sz w:val="20"/>
          <w:szCs w:val="20"/>
        </w:rPr>
        <w:footnoteRef/>
      </w:r>
      <w:r w:rsidRPr="0030192C">
        <w:rPr>
          <w:rFonts w:ascii="Century" w:hAnsi="Century" w:cstheme="minorHAnsi"/>
          <w:sz w:val="20"/>
          <w:szCs w:val="20"/>
        </w:rPr>
        <w:t xml:space="preserve"> VARONA ALABERN, J. E</w:t>
      </w:r>
      <w:r w:rsidRPr="003B574E">
        <w:rPr>
          <w:rFonts w:cstheme="minorHAnsi"/>
          <w:sz w:val="20"/>
          <w:szCs w:val="20"/>
        </w:rPr>
        <w:t>:</w:t>
      </w:r>
      <w:r w:rsidRPr="0030192C">
        <w:rPr>
          <w:rFonts w:ascii="Century" w:hAnsi="Century" w:cstheme="minorHAnsi"/>
          <w:sz w:val="20"/>
          <w:szCs w:val="20"/>
        </w:rPr>
        <w:t xml:space="preserve"> “Razones constitucionales para la rehabilitación y la necesaria reforma del impuesto sobre sucesiones y donaciones”, </w:t>
      </w:r>
      <w:r w:rsidRPr="0030192C">
        <w:rPr>
          <w:rFonts w:ascii="Century" w:hAnsi="Century" w:cstheme="minorHAnsi"/>
          <w:i/>
          <w:sz w:val="20"/>
          <w:szCs w:val="20"/>
        </w:rPr>
        <w:t>ob. cit.</w:t>
      </w:r>
      <w:r w:rsidRPr="0030192C">
        <w:rPr>
          <w:rFonts w:ascii="Century" w:hAnsi="Century" w:cstheme="minorHAnsi"/>
          <w:sz w:val="20"/>
          <w:szCs w:val="20"/>
        </w:rPr>
        <w:t xml:space="preserve">, pp. 31 - 33. </w:t>
      </w:r>
    </w:p>
  </w:footnote>
  <w:footnote w:id="86">
    <w:p w:rsidR="006E572A" w:rsidRPr="0030192C" w:rsidRDefault="006E572A" w:rsidP="0030192C">
      <w:pPr>
        <w:pStyle w:val="Sinespaciado"/>
        <w:spacing w:line="360" w:lineRule="auto"/>
        <w:jc w:val="both"/>
        <w:rPr>
          <w:rFonts w:ascii="Century" w:hAnsi="Century" w:cstheme="minorHAnsi"/>
          <w:sz w:val="20"/>
          <w:szCs w:val="20"/>
          <w:vertAlign w:val="superscript"/>
        </w:rPr>
      </w:pPr>
      <w:r w:rsidRPr="0030192C">
        <w:rPr>
          <w:rFonts w:ascii="Century" w:hAnsi="Century" w:cstheme="minorHAnsi"/>
          <w:sz w:val="20"/>
          <w:szCs w:val="20"/>
          <w:vertAlign w:val="superscript"/>
        </w:rPr>
        <w:footnoteRef/>
      </w:r>
      <w:r w:rsidRPr="0030192C">
        <w:rPr>
          <w:rFonts w:ascii="Century" w:hAnsi="Century" w:cstheme="minorHAnsi"/>
          <w:sz w:val="20"/>
          <w:szCs w:val="20"/>
          <w:vertAlign w:val="superscript"/>
        </w:rPr>
        <w:t xml:space="preserve">  </w:t>
      </w:r>
      <w:r w:rsidRPr="0030192C">
        <w:rPr>
          <w:rFonts w:ascii="Century" w:hAnsi="Century" w:cstheme="minorHAnsi"/>
          <w:sz w:val="20"/>
          <w:szCs w:val="20"/>
        </w:rPr>
        <w:t xml:space="preserve"> Así, también BAKER &amp; </w:t>
      </w:r>
      <w:proofErr w:type="spellStart"/>
      <w:r w:rsidRPr="0030192C">
        <w:rPr>
          <w:rFonts w:ascii="Century" w:hAnsi="Century" w:cstheme="minorHAnsi"/>
          <w:sz w:val="20"/>
          <w:szCs w:val="20"/>
        </w:rPr>
        <w:t>McKENZIE</w:t>
      </w:r>
      <w:proofErr w:type="spellEnd"/>
      <w:r w:rsidRPr="003B574E">
        <w:rPr>
          <w:rFonts w:cstheme="minorHAnsi"/>
          <w:sz w:val="20"/>
          <w:szCs w:val="20"/>
        </w:rPr>
        <w:t>:</w:t>
      </w:r>
      <w:r w:rsidRPr="0030192C">
        <w:rPr>
          <w:rFonts w:ascii="Century" w:hAnsi="Century" w:cstheme="minorHAnsi"/>
          <w:sz w:val="20"/>
          <w:szCs w:val="20"/>
        </w:rPr>
        <w:t xml:space="preserve"> </w:t>
      </w:r>
      <w:r w:rsidRPr="0030192C">
        <w:rPr>
          <w:rFonts w:ascii="Century" w:hAnsi="Century" w:cstheme="minorHAnsi"/>
          <w:i/>
          <w:sz w:val="20"/>
          <w:szCs w:val="20"/>
        </w:rPr>
        <w:t>Propuestas para la reforma de los impuestos sobre el Patrimonio y sobre Sucesiones y Donaciones en España</w:t>
      </w:r>
      <w:r w:rsidRPr="0030192C">
        <w:rPr>
          <w:rFonts w:ascii="Century" w:hAnsi="Century" w:cstheme="minorHAnsi"/>
          <w:sz w:val="20"/>
          <w:szCs w:val="20"/>
        </w:rPr>
        <w:t>, Ed. Fundación Impuestos y Competitividad, Madrid, 2015, pp. 55 - 69.</w:t>
      </w:r>
    </w:p>
  </w:footnote>
  <w:footnote w:id="87">
    <w:p w:rsidR="006E572A" w:rsidRPr="0030192C" w:rsidRDefault="006E572A" w:rsidP="0030192C">
      <w:pPr>
        <w:pStyle w:val="Sinespaciado"/>
        <w:spacing w:line="360" w:lineRule="auto"/>
        <w:jc w:val="both"/>
        <w:rPr>
          <w:rFonts w:ascii="Century" w:hAnsi="Century" w:cstheme="minorHAnsi"/>
          <w:sz w:val="20"/>
          <w:szCs w:val="20"/>
        </w:rPr>
      </w:pPr>
      <w:r w:rsidRPr="0030192C">
        <w:rPr>
          <w:rStyle w:val="Refdenotaalpie"/>
          <w:rFonts w:ascii="Century" w:hAnsi="Century" w:cstheme="minorHAnsi"/>
          <w:sz w:val="20"/>
          <w:szCs w:val="20"/>
        </w:rPr>
        <w:footnoteRef/>
      </w:r>
      <w:r w:rsidRPr="0030192C">
        <w:rPr>
          <w:rFonts w:ascii="Century" w:hAnsi="Century" w:cstheme="minorHAnsi"/>
          <w:sz w:val="20"/>
          <w:szCs w:val="20"/>
        </w:rPr>
        <w:t xml:space="preserve"> GARCÍA DE PABLOS, J.F</w:t>
      </w:r>
      <w:r w:rsidRPr="003B574E">
        <w:rPr>
          <w:rFonts w:cstheme="minorHAnsi"/>
          <w:sz w:val="20"/>
          <w:szCs w:val="20"/>
        </w:rPr>
        <w:t>:</w:t>
      </w:r>
      <w:r w:rsidRPr="0030192C">
        <w:rPr>
          <w:rFonts w:ascii="Century" w:hAnsi="Century" w:cstheme="minorHAnsi"/>
          <w:sz w:val="20"/>
          <w:szCs w:val="20"/>
        </w:rPr>
        <w:t xml:space="preserve"> “La urgente reforma del impuesto sobre sucesiones y donaciones en España a la luz del derecho comunitario”, </w:t>
      </w:r>
      <w:r w:rsidRPr="0030192C">
        <w:rPr>
          <w:rFonts w:ascii="Century" w:hAnsi="Century" w:cstheme="minorHAnsi"/>
          <w:i/>
          <w:sz w:val="20"/>
          <w:szCs w:val="20"/>
        </w:rPr>
        <w:t>Quincena Fiscal</w:t>
      </w:r>
      <w:r w:rsidRPr="0030192C">
        <w:rPr>
          <w:rFonts w:ascii="Century" w:hAnsi="Century" w:cstheme="minorHAnsi"/>
          <w:sz w:val="20"/>
          <w:szCs w:val="20"/>
        </w:rPr>
        <w:t>, nº 18, 2014, pp. 15 y 16.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72A" w:rsidRDefault="006E572A" w:rsidP="000625BE">
    <w:pPr>
      <w:pStyle w:val="Encabezado"/>
      <w:pBdr>
        <w:bottom w:val="thickThinSmallGap" w:sz="24" w:space="1" w:color="622423" w:themeColor="accent2" w:themeShade="7F"/>
      </w:pBdr>
      <w:rPr>
        <w:rFonts w:asciiTheme="majorHAnsi" w:eastAsiaTheme="majorEastAsia" w:hAnsiTheme="majorHAnsi" w:cstheme="majorBidi"/>
        <w:sz w:val="20"/>
        <w:szCs w:val="20"/>
      </w:rPr>
    </w:pPr>
  </w:p>
  <w:p w:rsidR="006E572A" w:rsidRPr="00EC29FC" w:rsidRDefault="006E572A" w:rsidP="000625BE">
    <w:pPr>
      <w:pStyle w:val="Encabezado"/>
      <w:pBdr>
        <w:bottom w:val="thickThinSmallGap" w:sz="24" w:space="1" w:color="622423" w:themeColor="accent2" w:themeShade="7F"/>
      </w:pBdr>
      <w:rPr>
        <w:rFonts w:asciiTheme="majorHAnsi" w:eastAsiaTheme="majorEastAsia" w:hAnsiTheme="majorHAnsi" w:cstheme="majorBidi"/>
        <w:sz w:val="20"/>
        <w:szCs w:val="20"/>
      </w:rPr>
    </w:pPr>
    <w:r w:rsidRPr="00EC29FC">
      <w:rPr>
        <w:rFonts w:asciiTheme="majorHAnsi" w:eastAsiaTheme="majorEastAsia" w:hAnsiTheme="majorHAnsi" w:cstheme="majorBidi"/>
        <w:sz w:val="20"/>
        <w:szCs w:val="20"/>
      </w:rPr>
      <w:t xml:space="preserve">María Cristina Marín </w:t>
    </w:r>
    <w:proofErr w:type="spellStart"/>
    <w:r w:rsidRPr="00EC29FC">
      <w:rPr>
        <w:rFonts w:asciiTheme="majorHAnsi" w:eastAsiaTheme="majorEastAsia" w:hAnsiTheme="majorHAnsi" w:cstheme="majorBidi"/>
        <w:sz w:val="20"/>
        <w:szCs w:val="20"/>
      </w:rPr>
      <w:t>Datorre</w:t>
    </w:r>
    <w:proofErr w:type="spellEnd"/>
  </w:p>
  <w:p w:rsidR="006E572A" w:rsidRDefault="006E572A">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inorHAnsi"/>
        <w:sz w:val="20"/>
        <w:szCs w:val="20"/>
      </w:rPr>
      <w:alias w:val="Título"/>
      <w:id w:val="-1393028903"/>
      <w:placeholder>
        <w:docPart w:val="FCD2B0C1779A40D088F00C9CE1C27E94"/>
      </w:placeholder>
      <w:dataBinding w:prefixMappings="xmlns:ns0='http://schemas.openxmlformats.org/package/2006/metadata/core-properties' xmlns:ns1='http://purl.org/dc/elements/1.1/'" w:xpath="/ns0:coreProperties[1]/ns1:title[1]" w:storeItemID="{6C3C8BC8-F283-45AE-878A-BAB7291924A1}"/>
      <w:text/>
    </w:sdtPr>
    <w:sdtContent>
      <w:p w:rsidR="006E572A" w:rsidRPr="00EA6850" w:rsidRDefault="006E572A" w:rsidP="00BA1D6B">
        <w:pPr>
          <w:pStyle w:val="Encabezado"/>
          <w:pBdr>
            <w:bottom w:val="thickThinSmallGap" w:sz="24" w:space="1" w:color="622423" w:themeColor="accent2" w:themeShade="7F"/>
          </w:pBdr>
          <w:jc w:val="right"/>
          <w:rPr>
            <w:rFonts w:ascii="Century" w:eastAsiaTheme="majorEastAsia" w:hAnsi="Century" w:cstheme="majorBidi"/>
            <w:sz w:val="20"/>
            <w:szCs w:val="20"/>
          </w:rPr>
        </w:pPr>
        <w:r>
          <w:rPr>
            <w:rFonts w:asciiTheme="majorHAnsi" w:eastAsiaTheme="majorEastAsia" w:hAnsiTheme="majorHAnsi" w:cstheme="minorHAnsi"/>
            <w:sz w:val="20"/>
            <w:szCs w:val="20"/>
          </w:rPr>
          <w:t>Competencia fiscal del Impuesto sobre Sucesiones en la Unión Europea y en España:                 análisis comparativo y problemática planteada</w:t>
        </w:r>
      </w:p>
    </w:sdtContent>
  </w:sdt>
  <w:p w:rsidR="006E572A" w:rsidRPr="00BB5C2D" w:rsidRDefault="006E572A">
    <w:pPr>
      <w:pStyle w:val="Encabezado"/>
      <w:rPr>
        <w:rFonts w:ascii="Century" w:hAnsi="Century"/>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D38BC"/>
    <w:multiLevelType w:val="hybridMultilevel"/>
    <w:tmpl w:val="88B862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76A149B"/>
    <w:multiLevelType w:val="hybridMultilevel"/>
    <w:tmpl w:val="59407AB0"/>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
    <w:nsid w:val="0850148B"/>
    <w:multiLevelType w:val="hybridMultilevel"/>
    <w:tmpl w:val="AD648452"/>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3">
    <w:nsid w:val="08DE58FD"/>
    <w:multiLevelType w:val="hybridMultilevel"/>
    <w:tmpl w:val="D7183304"/>
    <w:lvl w:ilvl="0" w:tplc="41FCB8B6">
      <w:start w:val="3"/>
      <w:numFmt w:val="bullet"/>
      <w:lvlText w:val="-"/>
      <w:lvlJc w:val="left"/>
      <w:pPr>
        <w:ind w:left="720" w:hanging="360"/>
      </w:pPr>
      <w:rPr>
        <w:rFonts w:ascii="Century" w:eastAsiaTheme="minorHAnsi" w:hAnsi="Century"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A1E6425"/>
    <w:multiLevelType w:val="hybridMultilevel"/>
    <w:tmpl w:val="5ACCC512"/>
    <w:lvl w:ilvl="0" w:tplc="696E3630">
      <w:start w:val="1"/>
      <w:numFmt w:val="bullet"/>
      <w:lvlText w:val="-"/>
      <w:lvlJc w:val="left"/>
      <w:pPr>
        <w:ind w:left="420" w:hanging="360"/>
      </w:pPr>
      <w:rPr>
        <w:rFonts w:ascii="Century" w:eastAsiaTheme="minorHAnsi" w:hAnsi="Century" w:cstheme="minorBidi"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5">
    <w:nsid w:val="0AA10419"/>
    <w:multiLevelType w:val="multilevel"/>
    <w:tmpl w:val="C16A93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A562CD"/>
    <w:multiLevelType w:val="hybridMultilevel"/>
    <w:tmpl w:val="369C685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nsid w:val="125E498F"/>
    <w:multiLevelType w:val="hybridMultilevel"/>
    <w:tmpl w:val="62D607C4"/>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8">
    <w:nsid w:val="18C022E6"/>
    <w:multiLevelType w:val="multilevel"/>
    <w:tmpl w:val="FBFA6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352867"/>
    <w:multiLevelType w:val="hybridMultilevel"/>
    <w:tmpl w:val="50BEECBC"/>
    <w:lvl w:ilvl="0" w:tplc="BCDAAE9E">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nsid w:val="1AB0191F"/>
    <w:multiLevelType w:val="hybridMultilevel"/>
    <w:tmpl w:val="00E4A5D6"/>
    <w:lvl w:ilvl="0" w:tplc="133E7184">
      <w:start w:val="77"/>
      <w:numFmt w:val="bullet"/>
      <w:lvlText w:val="-"/>
      <w:lvlJc w:val="left"/>
      <w:pPr>
        <w:ind w:left="786"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6554223"/>
    <w:multiLevelType w:val="hybridMultilevel"/>
    <w:tmpl w:val="D0DAF664"/>
    <w:lvl w:ilvl="0" w:tplc="9A5AED8C">
      <w:start w:val="2"/>
      <w:numFmt w:val="bullet"/>
      <w:lvlText w:val="-"/>
      <w:lvlJc w:val="left"/>
      <w:pPr>
        <w:ind w:left="720" w:hanging="360"/>
      </w:pPr>
      <w:rPr>
        <w:rFonts w:ascii="Century" w:eastAsiaTheme="minorHAnsi" w:hAnsi="Century" w:cstheme="minorBidi" w:hint="default"/>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7E13019"/>
    <w:multiLevelType w:val="hybridMultilevel"/>
    <w:tmpl w:val="F5A6882A"/>
    <w:lvl w:ilvl="0" w:tplc="BB10C76C">
      <w:start w:val="2"/>
      <w:numFmt w:val="bullet"/>
      <w:lvlText w:val="-"/>
      <w:lvlJc w:val="left"/>
      <w:pPr>
        <w:ind w:left="1068" w:hanging="360"/>
      </w:pPr>
      <w:rPr>
        <w:rFonts w:ascii="Century" w:eastAsiaTheme="minorHAnsi" w:hAnsi="Century" w:cstheme="minorBid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nsid w:val="2CC70DE3"/>
    <w:multiLevelType w:val="hybridMultilevel"/>
    <w:tmpl w:val="315E5730"/>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4">
    <w:nsid w:val="334811C8"/>
    <w:multiLevelType w:val="hybridMultilevel"/>
    <w:tmpl w:val="B1627A04"/>
    <w:lvl w:ilvl="0" w:tplc="6B2E4B78">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5">
    <w:nsid w:val="340E2EF6"/>
    <w:multiLevelType w:val="hybridMultilevel"/>
    <w:tmpl w:val="DD7EDC20"/>
    <w:lvl w:ilvl="0" w:tplc="41FCB8B6">
      <w:start w:val="3"/>
      <w:numFmt w:val="bullet"/>
      <w:lvlText w:val="-"/>
      <w:lvlJc w:val="left"/>
      <w:pPr>
        <w:ind w:left="720" w:hanging="360"/>
      </w:pPr>
      <w:rPr>
        <w:rFonts w:ascii="Century" w:eastAsiaTheme="minorHAnsi" w:hAnsi="Century"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491522F"/>
    <w:multiLevelType w:val="hybridMultilevel"/>
    <w:tmpl w:val="5CACBC16"/>
    <w:lvl w:ilvl="0" w:tplc="AA3EC092">
      <w:numFmt w:val="bullet"/>
      <w:lvlText w:val="-"/>
      <w:lvlJc w:val="left"/>
      <w:pPr>
        <w:ind w:left="720" w:hanging="360"/>
      </w:pPr>
      <w:rPr>
        <w:rFonts w:ascii="Century" w:eastAsiaTheme="minorHAnsi" w:hAnsi="Century"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12434E5"/>
    <w:multiLevelType w:val="hybridMultilevel"/>
    <w:tmpl w:val="E612E72C"/>
    <w:lvl w:ilvl="0" w:tplc="0C0A0001">
      <w:start w:val="1"/>
      <w:numFmt w:val="bullet"/>
      <w:lvlText w:val=""/>
      <w:lvlJc w:val="left"/>
      <w:pPr>
        <w:ind w:left="858" w:hanging="360"/>
      </w:pPr>
      <w:rPr>
        <w:rFonts w:ascii="Symbol" w:hAnsi="Symbol" w:hint="default"/>
      </w:rPr>
    </w:lvl>
    <w:lvl w:ilvl="1" w:tplc="0C0A0003" w:tentative="1">
      <w:start w:val="1"/>
      <w:numFmt w:val="bullet"/>
      <w:lvlText w:val="o"/>
      <w:lvlJc w:val="left"/>
      <w:pPr>
        <w:ind w:left="1578" w:hanging="360"/>
      </w:pPr>
      <w:rPr>
        <w:rFonts w:ascii="Courier New" w:hAnsi="Courier New" w:cs="Courier New" w:hint="default"/>
      </w:rPr>
    </w:lvl>
    <w:lvl w:ilvl="2" w:tplc="0C0A0005" w:tentative="1">
      <w:start w:val="1"/>
      <w:numFmt w:val="bullet"/>
      <w:lvlText w:val=""/>
      <w:lvlJc w:val="left"/>
      <w:pPr>
        <w:ind w:left="2298" w:hanging="360"/>
      </w:pPr>
      <w:rPr>
        <w:rFonts w:ascii="Wingdings" w:hAnsi="Wingdings" w:hint="default"/>
      </w:rPr>
    </w:lvl>
    <w:lvl w:ilvl="3" w:tplc="0C0A0001" w:tentative="1">
      <w:start w:val="1"/>
      <w:numFmt w:val="bullet"/>
      <w:lvlText w:val=""/>
      <w:lvlJc w:val="left"/>
      <w:pPr>
        <w:ind w:left="3018" w:hanging="360"/>
      </w:pPr>
      <w:rPr>
        <w:rFonts w:ascii="Symbol" w:hAnsi="Symbol" w:hint="default"/>
      </w:rPr>
    </w:lvl>
    <w:lvl w:ilvl="4" w:tplc="0C0A0003" w:tentative="1">
      <w:start w:val="1"/>
      <w:numFmt w:val="bullet"/>
      <w:lvlText w:val="o"/>
      <w:lvlJc w:val="left"/>
      <w:pPr>
        <w:ind w:left="3738" w:hanging="360"/>
      </w:pPr>
      <w:rPr>
        <w:rFonts w:ascii="Courier New" w:hAnsi="Courier New" w:cs="Courier New" w:hint="default"/>
      </w:rPr>
    </w:lvl>
    <w:lvl w:ilvl="5" w:tplc="0C0A0005" w:tentative="1">
      <w:start w:val="1"/>
      <w:numFmt w:val="bullet"/>
      <w:lvlText w:val=""/>
      <w:lvlJc w:val="left"/>
      <w:pPr>
        <w:ind w:left="4458" w:hanging="360"/>
      </w:pPr>
      <w:rPr>
        <w:rFonts w:ascii="Wingdings" w:hAnsi="Wingdings" w:hint="default"/>
      </w:rPr>
    </w:lvl>
    <w:lvl w:ilvl="6" w:tplc="0C0A0001" w:tentative="1">
      <w:start w:val="1"/>
      <w:numFmt w:val="bullet"/>
      <w:lvlText w:val=""/>
      <w:lvlJc w:val="left"/>
      <w:pPr>
        <w:ind w:left="5178" w:hanging="360"/>
      </w:pPr>
      <w:rPr>
        <w:rFonts w:ascii="Symbol" w:hAnsi="Symbol" w:hint="default"/>
      </w:rPr>
    </w:lvl>
    <w:lvl w:ilvl="7" w:tplc="0C0A0003" w:tentative="1">
      <w:start w:val="1"/>
      <w:numFmt w:val="bullet"/>
      <w:lvlText w:val="o"/>
      <w:lvlJc w:val="left"/>
      <w:pPr>
        <w:ind w:left="5898" w:hanging="360"/>
      </w:pPr>
      <w:rPr>
        <w:rFonts w:ascii="Courier New" w:hAnsi="Courier New" w:cs="Courier New" w:hint="default"/>
      </w:rPr>
    </w:lvl>
    <w:lvl w:ilvl="8" w:tplc="0C0A0005" w:tentative="1">
      <w:start w:val="1"/>
      <w:numFmt w:val="bullet"/>
      <w:lvlText w:val=""/>
      <w:lvlJc w:val="left"/>
      <w:pPr>
        <w:ind w:left="6618" w:hanging="360"/>
      </w:pPr>
      <w:rPr>
        <w:rFonts w:ascii="Wingdings" w:hAnsi="Wingdings" w:hint="default"/>
      </w:rPr>
    </w:lvl>
  </w:abstractNum>
  <w:abstractNum w:abstractNumId="18">
    <w:nsid w:val="471958E8"/>
    <w:multiLevelType w:val="hybridMultilevel"/>
    <w:tmpl w:val="10583BB6"/>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9">
    <w:nsid w:val="52AE17DA"/>
    <w:multiLevelType w:val="hybridMultilevel"/>
    <w:tmpl w:val="5734F40A"/>
    <w:lvl w:ilvl="0" w:tplc="133E7184">
      <w:start w:val="77"/>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30937D1"/>
    <w:multiLevelType w:val="multilevel"/>
    <w:tmpl w:val="0D5A7C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8B4369C"/>
    <w:multiLevelType w:val="hybridMultilevel"/>
    <w:tmpl w:val="90BE6086"/>
    <w:lvl w:ilvl="0" w:tplc="41FCB8B6">
      <w:start w:val="3"/>
      <w:numFmt w:val="bullet"/>
      <w:lvlText w:val="-"/>
      <w:lvlJc w:val="left"/>
      <w:pPr>
        <w:ind w:left="1440" w:hanging="360"/>
      </w:pPr>
      <w:rPr>
        <w:rFonts w:ascii="Century" w:eastAsiaTheme="minorHAnsi" w:hAnsi="Century" w:cstheme="minorBidi"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2">
    <w:nsid w:val="6125031B"/>
    <w:multiLevelType w:val="hybridMultilevel"/>
    <w:tmpl w:val="3A58A0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5967781"/>
    <w:multiLevelType w:val="hybridMultilevel"/>
    <w:tmpl w:val="4B3457C0"/>
    <w:lvl w:ilvl="0" w:tplc="133E7184">
      <w:start w:val="77"/>
      <w:numFmt w:val="bullet"/>
      <w:lvlText w:val="-"/>
      <w:lvlJc w:val="left"/>
      <w:pPr>
        <w:ind w:left="1070" w:hanging="360"/>
      </w:pPr>
      <w:rPr>
        <w:rFonts w:ascii="Arial" w:eastAsiaTheme="minorEastAsia" w:hAnsi="Arial" w:cs="Arial" w:hint="default"/>
      </w:rPr>
    </w:lvl>
    <w:lvl w:ilvl="1" w:tplc="0C0A0003" w:tentative="1">
      <w:start w:val="1"/>
      <w:numFmt w:val="bullet"/>
      <w:lvlText w:val="o"/>
      <w:lvlJc w:val="left"/>
      <w:pPr>
        <w:ind w:left="1790" w:hanging="360"/>
      </w:pPr>
      <w:rPr>
        <w:rFonts w:ascii="Courier New" w:hAnsi="Courier New" w:cs="Courier New" w:hint="default"/>
      </w:rPr>
    </w:lvl>
    <w:lvl w:ilvl="2" w:tplc="0C0A0005" w:tentative="1">
      <w:start w:val="1"/>
      <w:numFmt w:val="bullet"/>
      <w:lvlText w:val=""/>
      <w:lvlJc w:val="left"/>
      <w:pPr>
        <w:ind w:left="2510" w:hanging="360"/>
      </w:pPr>
      <w:rPr>
        <w:rFonts w:ascii="Wingdings" w:hAnsi="Wingdings" w:hint="default"/>
      </w:rPr>
    </w:lvl>
    <w:lvl w:ilvl="3" w:tplc="0C0A0001" w:tentative="1">
      <w:start w:val="1"/>
      <w:numFmt w:val="bullet"/>
      <w:lvlText w:val=""/>
      <w:lvlJc w:val="left"/>
      <w:pPr>
        <w:ind w:left="3230" w:hanging="360"/>
      </w:pPr>
      <w:rPr>
        <w:rFonts w:ascii="Symbol" w:hAnsi="Symbol" w:hint="default"/>
      </w:rPr>
    </w:lvl>
    <w:lvl w:ilvl="4" w:tplc="0C0A0003" w:tentative="1">
      <w:start w:val="1"/>
      <w:numFmt w:val="bullet"/>
      <w:lvlText w:val="o"/>
      <w:lvlJc w:val="left"/>
      <w:pPr>
        <w:ind w:left="3950" w:hanging="360"/>
      </w:pPr>
      <w:rPr>
        <w:rFonts w:ascii="Courier New" w:hAnsi="Courier New" w:cs="Courier New" w:hint="default"/>
      </w:rPr>
    </w:lvl>
    <w:lvl w:ilvl="5" w:tplc="0C0A0005" w:tentative="1">
      <w:start w:val="1"/>
      <w:numFmt w:val="bullet"/>
      <w:lvlText w:val=""/>
      <w:lvlJc w:val="left"/>
      <w:pPr>
        <w:ind w:left="4670" w:hanging="360"/>
      </w:pPr>
      <w:rPr>
        <w:rFonts w:ascii="Wingdings" w:hAnsi="Wingdings" w:hint="default"/>
      </w:rPr>
    </w:lvl>
    <w:lvl w:ilvl="6" w:tplc="0C0A0001" w:tentative="1">
      <w:start w:val="1"/>
      <w:numFmt w:val="bullet"/>
      <w:lvlText w:val=""/>
      <w:lvlJc w:val="left"/>
      <w:pPr>
        <w:ind w:left="5390" w:hanging="360"/>
      </w:pPr>
      <w:rPr>
        <w:rFonts w:ascii="Symbol" w:hAnsi="Symbol" w:hint="default"/>
      </w:rPr>
    </w:lvl>
    <w:lvl w:ilvl="7" w:tplc="0C0A0003" w:tentative="1">
      <w:start w:val="1"/>
      <w:numFmt w:val="bullet"/>
      <w:lvlText w:val="o"/>
      <w:lvlJc w:val="left"/>
      <w:pPr>
        <w:ind w:left="6110" w:hanging="360"/>
      </w:pPr>
      <w:rPr>
        <w:rFonts w:ascii="Courier New" w:hAnsi="Courier New" w:cs="Courier New" w:hint="default"/>
      </w:rPr>
    </w:lvl>
    <w:lvl w:ilvl="8" w:tplc="0C0A0005" w:tentative="1">
      <w:start w:val="1"/>
      <w:numFmt w:val="bullet"/>
      <w:lvlText w:val=""/>
      <w:lvlJc w:val="left"/>
      <w:pPr>
        <w:ind w:left="6830" w:hanging="360"/>
      </w:pPr>
      <w:rPr>
        <w:rFonts w:ascii="Wingdings" w:hAnsi="Wingdings" w:hint="default"/>
      </w:rPr>
    </w:lvl>
  </w:abstractNum>
  <w:abstractNum w:abstractNumId="24">
    <w:nsid w:val="7831358D"/>
    <w:multiLevelType w:val="hybridMultilevel"/>
    <w:tmpl w:val="F706290C"/>
    <w:lvl w:ilvl="0" w:tplc="2190F0C4">
      <w:start w:val="1"/>
      <w:numFmt w:val="bullet"/>
      <w:lvlText w:val=""/>
      <w:lvlJc w:val="left"/>
      <w:pPr>
        <w:ind w:left="578" w:hanging="360"/>
      </w:pPr>
      <w:rPr>
        <w:rFonts w:ascii="Symbol" w:hAnsi="Symbol" w:hint="default"/>
        <w:sz w:val="24"/>
        <w:szCs w:val="24"/>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25">
    <w:nsid w:val="79C0186B"/>
    <w:multiLevelType w:val="hybridMultilevel"/>
    <w:tmpl w:val="019E76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7A6C5715"/>
    <w:multiLevelType w:val="multilevel"/>
    <w:tmpl w:val="F8C07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23"/>
  </w:num>
  <w:num w:numId="4">
    <w:abstractNumId w:val="12"/>
  </w:num>
  <w:num w:numId="5">
    <w:abstractNumId w:val="14"/>
  </w:num>
  <w:num w:numId="6">
    <w:abstractNumId w:val="20"/>
  </w:num>
  <w:num w:numId="7">
    <w:abstractNumId w:val="16"/>
  </w:num>
  <w:num w:numId="8">
    <w:abstractNumId w:val="11"/>
  </w:num>
  <w:num w:numId="9">
    <w:abstractNumId w:val="3"/>
  </w:num>
  <w:num w:numId="10">
    <w:abstractNumId w:val="13"/>
  </w:num>
  <w:num w:numId="11">
    <w:abstractNumId w:val="18"/>
  </w:num>
  <w:num w:numId="12">
    <w:abstractNumId w:val="7"/>
  </w:num>
  <w:num w:numId="13">
    <w:abstractNumId w:val="17"/>
  </w:num>
  <w:num w:numId="14">
    <w:abstractNumId w:val="2"/>
  </w:num>
  <w:num w:numId="15">
    <w:abstractNumId w:val="10"/>
  </w:num>
  <w:num w:numId="16">
    <w:abstractNumId w:val="25"/>
  </w:num>
  <w:num w:numId="17">
    <w:abstractNumId w:val="5"/>
  </w:num>
  <w:num w:numId="18">
    <w:abstractNumId w:val="26"/>
  </w:num>
  <w:num w:numId="19">
    <w:abstractNumId w:val="22"/>
  </w:num>
  <w:num w:numId="20">
    <w:abstractNumId w:val="24"/>
  </w:num>
  <w:num w:numId="21">
    <w:abstractNumId w:val="1"/>
  </w:num>
  <w:num w:numId="22">
    <w:abstractNumId w:val="15"/>
  </w:num>
  <w:num w:numId="23">
    <w:abstractNumId w:val="21"/>
  </w:num>
  <w:num w:numId="24">
    <w:abstractNumId w:val="8"/>
  </w:num>
  <w:num w:numId="25">
    <w:abstractNumId w:val="19"/>
  </w:num>
  <w:num w:numId="26">
    <w:abstractNumId w:val="0"/>
  </w:num>
  <w:num w:numId="2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78850"/>
  </w:hdrShapeDefaults>
  <w:footnotePr>
    <w:footnote w:id="-1"/>
    <w:footnote w:id="0"/>
  </w:footnotePr>
  <w:endnotePr>
    <w:endnote w:id="-1"/>
    <w:endnote w:id="0"/>
  </w:endnotePr>
  <w:compat>
    <w:useFELayout/>
  </w:compat>
  <w:rsids>
    <w:rsidRoot w:val="003126CE"/>
    <w:rsid w:val="00002CDB"/>
    <w:rsid w:val="00003EC0"/>
    <w:rsid w:val="00006F20"/>
    <w:rsid w:val="00007655"/>
    <w:rsid w:val="000142C5"/>
    <w:rsid w:val="0001550B"/>
    <w:rsid w:val="00015A2D"/>
    <w:rsid w:val="00015F8E"/>
    <w:rsid w:val="00023C04"/>
    <w:rsid w:val="00024794"/>
    <w:rsid w:val="00031198"/>
    <w:rsid w:val="0003262D"/>
    <w:rsid w:val="00035BE6"/>
    <w:rsid w:val="000378B1"/>
    <w:rsid w:val="000414AF"/>
    <w:rsid w:val="000429D4"/>
    <w:rsid w:val="00042F0C"/>
    <w:rsid w:val="000506FC"/>
    <w:rsid w:val="00051FFE"/>
    <w:rsid w:val="00054859"/>
    <w:rsid w:val="00057654"/>
    <w:rsid w:val="000617E2"/>
    <w:rsid w:val="00061CE0"/>
    <w:rsid w:val="000625BE"/>
    <w:rsid w:val="00062E44"/>
    <w:rsid w:val="000637CB"/>
    <w:rsid w:val="00063D41"/>
    <w:rsid w:val="00065053"/>
    <w:rsid w:val="00065636"/>
    <w:rsid w:val="000658DF"/>
    <w:rsid w:val="000678DB"/>
    <w:rsid w:val="00072377"/>
    <w:rsid w:val="00073816"/>
    <w:rsid w:val="0007779F"/>
    <w:rsid w:val="00083F6D"/>
    <w:rsid w:val="00084AE7"/>
    <w:rsid w:val="000859C8"/>
    <w:rsid w:val="000862AE"/>
    <w:rsid w:val="000867C1"/>
    <w:rsid w:val="0009011E"/>
    <w:rsid w:val="0009019E"/>
    <w:rsid w:val="00093238"/>
    <w:rsid w:val="00096500"/>
    <w:rsid w:val="00097293"/>
    <w:rsid w:val="00097910"/>
    <w:rsid w:val="000979B7"/>
    <w:rsid w:val="000A0598"/>
    <w:rsid w:val="000A143C"/>
    <w:rsid w:val="000A3DC5"/>
    <w:rsid w:val="000A422E"/>
    <w:rsid w:val="000A46C1"/>
    <w:rsid w:val="000A4929"/>
    <w:rsid w:val="000A6746"/>
    <w:rsid w:val="000A69A1"/>
    <w:rsid w:val="000A6F4F"/>
    <w:rsid w:val="000B0BF0"/>
    <w:rsid w:val="000B4B06"/>
    <w:rsid w:val="000B5271"/>
    <w:rsid w:val="000B61C2"/>
    <w:rsid w:val="000C0394"/>
    <w:rsid w:val="000C21AA"/>
    <w:rsid w:val="000C2D69"/>
    <w:rsid w:val="000C3135"/>
    <w:rsid w:val="000C509A"/>
    <w:rsid w:val="000D008E"/>
    <w:rsid w:val="000D09E2"/>
    <w:rsid w:val="000D28A1"/>
    <w:rsid w:val="000D318E"/>
    <w:rsid w:val="000D3835"/>
    <w:rsid w:val="000E0904"/>
    <w:rsid w:val="000E0CE0"/>
    <w:rsid w:val="000E2894"/>
    <w:rsid w:val="000E2931"/>
    <w:rsid w:val="000E2BB9"/>
    <w:rsid w:val="000E4B10"/>
    <w:rsid w:val="000E688B"/>
    <w:rsid w:val="000E6DAD"/>
    <w:rsid w:val="000F1B49"/>
    <w:rsid w:val="000F3937"/>
    <w:rsid w:val="000F3DD3"/>
    <w:rsid w:val="00101BA0"/>
    <w:rsid w:val="0010339A"/>
    <w:rsid w:val="001046E1"/>
    <w:rsid w:val="00104AE4"/>
    <w:rsid w:val="0010595B"/>
    <w:rsid w:val="001064B1"/>
    <w:rsid w:val="001077EB"/>
    <w:rsid w:val="00107E95"/>
    <w:rsid w:val="00110102"/>
    <w:rsid w:val="001155E9"/>
    <w:rsid w:val="00116F0C"/>
    <w:rsid w:val="0012088D"/>
    <w:rsid w:val="0012255E"/>
    <w:rsid w:val="00123454"/>
    <w:rsid w:val="00125DE6"/>
    <w:rsid w:val="00130E65"/>
    <w:rsid w:val="0013460A"/>
    <w:rsid w:val="00136C4A"/>
    <w:rsid w:val="001459C6"/>
    <w:rsid w:val="0014720C"/>
    <w:rsid w:val="00150638"/>
    <w:rsid w:val="001511FC"/>
    <w:rsid w:val="0015343C"/>
    <w:rsid w:val="00154816"/>
    <w:rsid w:val="0015667C"/>
    <w:rsid w:val="001574E0"/>
    <w:rsid w:val="00157D5D"/>
    <w:rsid w:val="0016255F"/>
    <w:rsid w:val="001708C2"/>
    <w:rsid w:val="00170911"/>
    <w:rsid w:val="00171E31"/>
    <w:rsid w:val="00174E2E"/>
    <w:rsid w:val="00180827"/>
    <w:rsid w:val="00180B2D"/>
    <w:rsid w:val="00181239"/>
    <w:rsid w:val="00181241"/>
    <w:rsid w:val="0018228B"/>
    <w:rsid w:val="001844F0"/>
    <w:rsid w:val="00186514"/>
    <w:rsid w:val="00186707"/>
    <w:rsid w:val="00187029"/>
    <w:rsid w:val="001877EA"/>
    <w:rsid w:val="00187F19"/>
    <w:rsid w:val="00191EA3"/>
    <w:rsid w:val="00196BAD"/>
    <w:rsid w:val="001A377B"/>
    <w:rsid w:val="001A52A9"/>
    <w:rsid w:val="001B05C8"/>
    <w:rsid w:val="001B0DB7"/>
    <w:rsid w:val="001B18E5"/>
    <w:rsid w:val="001B285D"/>
    <w:rsid w:val="001B529A"/>
    <w:rsid w:val="001B571F"/>
    <w:rsid w:val="001B7405"/>
    <w:rsid w:val="001B7F4B"/>
    <w:rsid w:val="001C0CFB"/>
    <w:rsid w:val="001C3DA1"/>
    <w:rsid w:val="001C57B1"/>
    <w:rsid w:val="001C6EBA"/>
    <w:rsid w:val="001C6FFD"/>
    <w:rsid w:val="001D0AFD"/>
    <w:rsid w:val="001D294E"/>
    <w:rsid w:val="001D43B5"/>
    <w:rsid w:val="001D4900"/>
    <w:rsid w:val="001D4ADE"/>
    <w:rsid w:val="001D551E"/>
    <w:rsid w:val="001D5D49"/>
    <w:rsid w:val="001D612A"/>
    <w:rsid w:val="001E143E"/>
    <w:rsid w:val="001E29FC"/>
    <w:rsid w:val="001E2DBC"/>
    <w:rsid w:val="001E58E9"/>
    <w:rsid w:val="001F25C2"/>
    <w:rsid w:val="002042AC"/>
    <w:rsid w:val="00211877"/>
    <w:rsid w:val="00215520"/>
    <w:rsid w:val="00215549"/>
    <w:rsid w:val="002170C0"/>
    <w:rsid w:val="00220F12"/>
    <w:rsid w:val="002225E8"/>
    <w:rsid w:val="00222CFB"/>
    <w:rsid w:val="00224D7F"/>
    <w:rsid w:val="0022544E"/>
    <w:rsid w:val="002254FB"/>
    <w:rsid w:val="00227A18"/>
    <w:rsid w:val="002369DE"/>
    <w:rsid w:val="002371A0"/>
    <w:rsid w:val="00245EA8"/>
    <w:rsid w:val="0024606A"/>
    <w:rsid w:val="002466B6"/>
    <w:rsid w:val="002470A2"/>
    <w:rsid w:val="002507FB"/>
    <w:rsid w:val="00250F57"/>
    <w:rsid w:val="00254F3B"/>
    <w:rsid w:val="00261D0D"/>
    <w:rsid w:val="00264FB8"/>
    <w:rsid w:val="002666AB"/>
    <w:rsid w:val="00266970"/>
    <w:rsid w:val="00266C0B"/>
    <w:rsid w:val="002714E6"/>
    <w:rsid w:val="00272D69"/>
    <w:rsid w:val="00274139"/>
    <w:rsid w:val="002758BF"/>
    <w:rsid w:val="00275B92"/>
    <w:rsid w:val="002849D4"/>
    <w:rsid w:val="00284DC0"/>
    <w:rsid w:val="00285918"/>
    <w:rsid w:val="00285B9C"/>
    <w:rsid w:val="002875FF"/>
    <w:rsid w:val="00290BFD"/>
    <w:rsid w:val="00293FA9"/>
    <w:rsid w:val="002971C3"/>
    <w:rsid w:val="002A1F63"/>
    <w:rsid w:val="002A2BB4"/>
    <w:rsid w:val="002A3394"/>
    <w:rsid w:val="002A740C"/>
    <w:rsid w:val="002A7F77"/>
    <w:rsid w:val="002B0C67"/>
    <w:rsid w:val="002B3EDB"/>
    <w:rsid w:val="002B4E26"/>
    <w:rsid w:val="002B5612"/>
    <w:rsid w:val="002C13F3"/>
    <w:rsid w:val="002C776A"/>
    <w:rsid w:val="002C7D3C"/>
    <w:rsid w:val="002D075E"/>
    <w:rsid w:val="002D11BC"/>
    <w:rsid w:val="002D71A1"/>
    <w:rsid w:val="002E0BAD"/>
    <w:rsid w:val="002E622F"/>
    <w:rsid w:val="002F2156"/>
    <w:rsid w:val="002F668C"/>
    <w:rsid w:val="0030008A"/>
    <w:rsid w:val="003008B9"/>
    <w:rsid w:val="0030192C"/>
    <w:rsid w:val="003023AB"/>
    <w:rsid w:val="0030430B"/>
    <w:rsid w:val="0030649D"/>
    <w:rsid w:val="00307B2E"/>
    <w:rsid w:val="00307DF6"/>
    <w:rsid w:val="003126CE"/>
    <w:rsid w:val="00312E23"/>
    <w:rsid w:val="003155E1"/>
    <w:rsid w:val="00321C82"/>
    <w:rsid w:val="0032324A"/>
    <w:rsid w:val="003247FC"/>
    <w:rsid w:val="00327490"/>
    <w:rsid w:val="00330A7E"/>
    <w:rsid w:val="00333D2E"/>
    <w:rsid w:val="00336B76"/>
    <w:rsid w:val="00337E69"/>
    <w:rsid w:val="00340152"/>
    <w:rsid w:val="003410F3"/>
    <w:rsid w:val="00343E50"/>
    <w:rsid w:val="003541BE"/>
    <w:rsid w:val="0035465E"/>
    <w:rsid w:val="00356639"/>
    <w:rsid w:val="00357B07"/>
    <w:rsid w:val="00363D94"/>
    <w:rsid w:val="00363F5D"/>
    <w:rsid w:val="00371907"/>
    <w:rsid w:val="0037408C"/>
    <w:rsid w:val="00374539"/>
    <w:rsid w:val="00376494"/>
    <w:rsid w:val="0038105C"/>
    <w:rsid w:val="0038514C"/>
    <w:rsid w:val="003870C7"/>
    <w:rsid w:val="003876E2"/>
    <w:rsid w:val="00395057"/>
    <w:rsid w:val="003A0C78"/>
    <w:rsid w:val="003A28D7"/>
    <w:rsid w:val="003A2FE5"/>
    <w:rsid w:val="003A5779"/>
    <w:rsid w:val="003A6BF4"/>
    <w:rsid w:val="003A7B37"/>
    <w:rsid w:val="003B2C73"/>
    <w:rsid w:val="003B574E"/>
    <w:rsid w:val="003B6242"/>
    <w:rsid w:val="003B7ADF"/>
    <w:rsid w:val="003C0B5C"/>
    <w:rsid w:val="003C2047"/>
    <w:rsid w:val="003C7243"/>
    <w:rsid w:val="003C7BAB"/>
    <w:rsid w:val="003D1EEA"/>
    <w:rsid w:val="003D4FAF"/>
    <w:rsid w:val="003E030A"/>
    <w:rsid w:val="003E062A"/>
    <w:rsid w:val="003E3039"/>
    <w:rsid w:val="003E7B6C"/>
    <w:rsid w:val="003F4121"/>
    <w:rsid w:val="003F7F9C"/>
    <w:rsid w:val="00402BCE"/>
    <w:rsid w:val="004130C1"/>
    <w:rsid w:val="004143BC"/>
    <w:rsid w:val="004172D3"/>
    <w:rsid w:val="00420AEF"/>
    <w:rsid w:val="00420F97"/>
    <w:rsid w:val="00421A90"/>
    <w:rsid w:val="0042244D"/>
    <w:rsid w:val="00423253"/>
    <w:rsid w:val="0042487F"/>
    <w:rsid w:val="00426516"/>
    <w:rsid w:val="00435C93"/>
    <w:rsid w:val="00436C15"/>
    <w:rsid w:val="0044224F"/>
    <w:rsid w:val="00444888"/>
    <w:rsid w:val="00445226"/>
    <w:rsid w:val="004455D0"/>
    <w:rsid w:val="004470A4"/>
    <w:rsid w:val="00451BDA"/>
    <w:rsid w:val="004550C0"/>
    <w:rsid w:val="004551E2"/>
    <w:rsid w:val="00455F8E"/>
    <w:rsid w:val="0045727F"/>
    <w:rsid w:val="00457919"/>
    <w:rsid w:val="004622A6"/>
    <w:rsid w:val="004628EB"/>
    <w:rsid w:val="0047144E"/>
    <w:rsid w:val="00472E63"/>
    <w:rsid w:val="00473C8D"/>
    <w:rsid w:val="00477A53"/>
    <w:rsid w:val="004820F7"/>
    <w:rsid w:val="0048254F"/>
    <w:rsid w:val="00483CA6"/>
    <w:rsid w:val="00485F92"/>
    <w:rsid w:val="00486A3C"/>
    <w:rsid w:val="00487A37"/>
    <w:rsid w:val="00490F5B"/>
    <w:rsid w:val="00491232"/>
    <w:rsid w:val="0049163C"/>
    <w:rsid w:val="00492774"/>
    <w:rsid w:val="004946A0"/>
    <w:rsid w:val="004962F7"/>
    <w:rsid w:val="004A0E95"/>
    <w:rsid w:val="004A105C"/>
    <w:rsid w:val="004A3119"/>
    <w:rsid w:val="004A32DC"/>
    <w:rsid w:val="004A5FB8"/>
    <w:rsid w:val="004A603C"/>
    <w:rsid w:val="004A76CF"/>
    <w:rsid w:val="004B017E"/>
    <w:rsid w:val="004B3BF3"/>
    <w:rsid w:val="004B43D4"/>
    <w:rsid w:val="004B4E08"/>
    <w:rsid w:val="004C179E"/>
    <w:rsid w:val="004C1D28"/>
    <w:rsid w:val="004C32B6"/>
    <w:rsid w:val="004C46EA"/>
    <w:rsid w:val="004C53CB"/>
    <w:rsid w:val="004C6BA8"/>
    <w:rsid w:val="004D26BB"/>
    <w:rsid w:val="004D4186"/>
    <w:rsid w:val="004D79B1"/>
    <w:rsid w:val="004D7B21"/>
    <w:rsid w:val="004E03E5"/>
    <w:rsid w:val="004E0AA4"/>
    <w:rsid w:val="004E1BB1"/>
    <w:rsid w:val="004E2513"/>
    <w:rsid w:val="004E34DF"/>
    <w:rsid w:val="004E4CD9"/>
    <w:rsid w:val="004E53AD"/>
    <w:rsid w:val="004F0967"/>
    <w:rsid w:val="004F1B7F"/>
    <w:rsid w:val="004F56DF"/>
    <w:rsid w:val="004F6120"/>
    <w:rsid w:val="004F74A9"/>
    <w:rsid w:val="004F7B59"/>
    <w:rsid w:val="00500667"/>
    <w:rsid w:val="00500ADC"/>
    <w:rsid w:val="00502AFE"/>
    <w:rsid w:val="00502F78"/>
    <w:rsid w:val="00503501"/>
    <w:rsid w:val="005040AC"/>
    <w:rsid w:val="00504C8B"/>
    <w:rsid w:val="00505CDA"/>
    <w:rsid w:val="005108A2"/>
    <w:rsid w:val="00514069"/>
    <w:rsid w:val="00514577"/>
    <w:rsid w:val="00514E63"/>
    <w:rsid w:val="005205A2"/>
    <w:rsid w:val="0052098E"/>
    <w:rsid w:val="00526226"/>
    <w:rsid w:val="005302AD"/>
    <w:rsid w:val="00537025"/>
    <w:rsid w:val="005413A2"/>
    <w:rsid w:val="00541881"/>
    <w:rsid w:val="00541F17"/>
    <w:rsid w:val="00544DC2"/>
    <w:rsid w:val="00545D32"/>
    <w:rsid w:val="00550BA7"/>
    <w:rsid w:val="00551553"/>
    <w:rsid w:val="005574EB"/>
    <w:rsid w:val="00560236"/>
    <w:rsid w:val="0056121A"/>
    <w:rsid w:val="00563DA0"/>
    <w:rsid w:val="005662CC"/>
    <w:rsid w:val="005662D9"/>
    <w:rsid w:val="00570667"/>
    <w:rsid w:val="00574C0A"/>
    <w:rsid w:val="00574E52"/>
    <w:rsid w:val="0057505C"/>
    <w:rsid w:val="005751FF"/>
    <w:rsid w:val="00580086"/>
    <w:rsid w:val="00580956"/>
    <w:rsid w:val="005819ED"/>
    <w:rsid w:val="00582B66"/>
    <w:rsid w:val="0058396D"/>
    <w:rsid w:val="00584B27"/>
    <w:rsid w:val="00584BAE"/>
    <w:rsid w:val="00586528"/>
    <w:rsid w:val="005918EA"/>
    <w:rsid w:val="00591C50"/>
    <w:rsid w:val="0059205E"/>
    <w:rsid w:val="0059321E"/>
    <w:rsid w:val="00595132"/>
    <w:rsid w:val="00595BC2"/>
    <w:rsid w:val="00595DD9"/>
    <w:rsid w:val="005A17D8"/>
    <w:rsid w:val="005A3473"/>
    <w:rsid w:val="005A723D"/>
    <w:rsid w:val="005B4F97"/>
    <w:rsid w:val="005B6612"/>
    <w:rsid w:val="005B694D"/>
    <w:rsid w:val="005B72A1"/>
    <w:rsid w:val="005B7461"/>
    <w:rsid w:val="005C10B8"/>
    <w:rsid w:val="005C2033"/>
    <w:rsid w:val="005C393B"/>
    <w:rsid w:val="005C39F5"/>
    <w:rsid w:val="005C73C4"/>
    <w:rsid w:val="005D037F"/>
    <w:rsid w:val="005D10F2"/>
    <w:rsid w:val="005D26C0"/>
    <w:rsid w:val="005D2DC0"/>
    <w:rsid w:val="005D4710"/>
    <w:rsid w:val="005D5618"/>
    <w:rsid w:val="005D63BA"/>
    <w:rsid w:val="005D711B"/>
    <w:rsid w:val="005E087D"/>
    <w:rsid w:val="005E15A5"/>
    <w:rsid w:val="005E2ADC"/>
    <w:rsid w:val="005E554D"/>
    <w:rsid w:val="005E5749"/>
    <w:rsid w:val="005F0173"/>
    <w:rsid w:val="005F144D"/>
    <w:rsid w:val="005F18B7"/>
    <w:rsid w:val="005F4E0A"/>
    <w:rsid w:val="005F7694"/>
    <w:rsid w:val="00600D00"/>
    <w:rsid w:val="00603320"/>
    <w:rsid w:val="00607D32"/>
    <w:rsid w:val="006109F4"/>
    <w:rsid w:val="00611197"/>
    <w:rsid w:val="0061613B"/>
    <w:rsid w:val="0061675B"/>
    <w:rsid w:val="00617994"/>
    <w:rsid w:val="00626E82"/>
    <w:rsid w:val="00633006"/>
    <w:rsid w:val="006356D9"/>
    <w:rsid w:val="00650ED0"/>
    <w:rsid w:val="00653CAA"/>
    <w:rsid w:val="00653D2D"/>
    <w:rsid w:val="006559C8"/>
    <w:rsid w:val="0065648F"/>
    <w:rsid w:val="00660C0D"/>
    <w:rsid w:val="00663B9E"/>
    <w:rsid w:val="00664168"/>
    <w:rsid w:val="00667666"/>
    <w:rsid w:val="00670367"/>
    <w:rsid w:val="00671194"/>
    <w:rsid w:val="00674FCF"/>
    <w:rsid w:val="00675BA2"/>
    <w:rsid w:val="0067642B"/>
    <w:rsid w:val="006773CA"/>
    <w:rsid w:val="00677E6B"/>
    <w:rsid w:val="006834CD"/>
    <w:rsid w:val="00685A0B"/>
    <w:rsid w:val="00687256"/>
    <w:rsid w:val="00690DFE"/>
    <w:rsid w:val="00694043"/>
    <w:rsid w:val="00694A90"/>
    <w:rsid w:val="00695304"/>
    <w:rsid w:val="006A2348"/>
    <w:rsid w:val="006A2E65"/>
    <w:rsid w:val="006A4F0C"/>
    <w:rsid w:val="006A5290"/>
    <w:rsid w:val="006A69D3"/>
    <w:rsid w:val="006B0B82"/>
    <w:rsid w:val="006B6B9A"/>
    <w:rsid w:val="006C02F6"/>
    <w:rsid w:val="006C5F68"/>
    <w:rsid w:val="006C7913"/>
    <w:rsid w:val="006D01FF"/>
    <w:rsid w:val="006D2C01"/>
    <w:rsid w:val="006D364F"/>
    <w:rsid w:val="006D43E3"/>
    <w:rsid w:val="006D62EF"/>
    <w:rsid w:val="006E21DE"/>
    <w:rsid w:val="006E572A"/>
    <w:rsid w:val="006E6807"/>
    <w:rsid w:val="006F1239"/>
    <w:rsid w:val="006F2C98"/>
    <w:rsid w:val="006F6A62"/>
    <w:rsid w:val="007004BB"/>
    <w:rsid w:val="00706DEF"/>
    <w:rsid w:val="00710F69"/>
    <w:rsid w:val="007117A2"/>
    <w:rsid w:val="00713588"/>
    <w:rsid w:val="0071398F"/>
    <w:rsid w:val="00714139"/>
    <w:rsid w:val="0071479B"/>
    <w:rsid w:val="007164CC"/>
    <w:rsid w:val="007172D3"/>
    <w:rsid w:val="00723911"/>
    <w:rsid w:val="00725D00"/>
    <w:rsid w:val="00726E2E"/>
    <w:rsid w:val="00731F73"/>
    <w:rsid w:val="00736A0D"/>
    <w:rsid w:val="0073708F"/>
    <w:rsid w:val="00741651"/>
    <w:rsid w:val="007422D9"/>
    <w:rsid w:val="00742537"/>
    <w:rsid w:val="00742C4B"/>
    <w:rsid w:val="00744CF0"/>
    <w:rsid w:val="007511E9"/>
    <w:rsid w:val="00754E9F"/>
    <w:rsid w:val="007576D5"/>
    <w:rsid w:val="007672D3"/>
    <w:rsid w:val="00770622"/>
    <w:rsid w:val="00775C38"/>
    <w:rsid w:val="00776090"/>
    <w:rsid w:val="00782123"/>
    <w:rsid w:val="00785EF0"/>
    <w:rsid w:val="007860C3"/>
    <w:rsid w:val="00786A35"/>
    <w:rsid w:val="0078707B"/>
    <w:rsid w:val="00791063"/>
    <w:rsid w:val="00792263"/>
    <w:rsid w:val="007937A7"/>
    <w:rsid w:val="007949C2"/>
    <w:rsid w:val="00794FCC"/>
    <w:rsid w:val="00795091"/>
    <w:rsid w:val="00796310"/>
    <w:rsid w:val="00797F75"/>
    <w:rsid w:val="007A0F7D"/>
    <w:rsid w:val="007A3C84"/>
    <w:rsid w:val="007A3E2C"/>
    <w:rsid w:val="007A51A1"/>
    <w:rsid w:val="007B1A4E"/>
    <w:rsid w:val="007B35F1"/>
    <w:rsid w:val="007C1552"/>
    <w:rsid w:val="007D0436"/>
    <w:rsid w:val="007D068B"/>
    <w:rsid w:val="007D071B"/>
    <w:rsid w:val="007D119A"/>
    <w:rsid w:val="007E2F70"/>
    <w:rsid w:val="007E4F6C"/>
    <w:rsid w:val="007E6BC0"/>
    <w:rsid w:val="007F1876"/>
    <w:rsid w:val="007F5B2E"/>
    <w:rsid w:val="008015B3"/>
    <w:rsid w:val="0080550C"/>
    <w:rsid w:val="00805F3B"/>
    <w:rsid w:val="00806163"/>
    <w:rsid w:val="0081584C"/>
    <w:rsid w:val="00817CD1"/>
    <w:rsid w:val="00823964"/>
    <w:rsid w:val="00823E21"/>
    <w:rsid w:val="008240E3"/>
    <w:rsid w:val="00825392"/>
    <w:rsid w:val="00825A39"/>
    <w:rsid w:val="00825D76"/>
    <w:rsid w:val="00827308"/>
    <w:rsid w:val="00827539"/>
    <w:rsid w:val="00841CD3"/>
    <w:rsid w:val="008459DD"/>
    <w:rsid w:val="008515A6"/>
    <w:rsid w:val="00852A42"/>
    <w:rsid w:val="008537EF"/>
    <w:rsid w:val="008550FB"/>
    <w:rsid w:val="0085625E"/>
    <w:rsid w:val="00857C22"/>
    <w:rsid w:val="00860F20"/>
    <w:rsid w:val="00863051"/>
    <w:rsid w:val="0086400A"/>
    <w:rsid w:val="0086674D"/>
    <w:rsid w:val="00866AAD"/>
    <w:rsid w:val="00867913"/>
    <w:rsid w:val="008711D3"/>
    <w:rsid w:val="008759AE"/>
    <w:rsid w:val="00876556"/>
    <w:rsid w:val="00877B80"/>
    <w:rsid w:val="0088024F"/>
    <w:rsid w:val="00881DA4"/>
    <w:rsid w:val="008866B3"/>
    <w:rsid w:val="00886A6A"/>
    <w:rsid w:val="00887856"/>
    <w:rsid w:val="0089200A"/>
    <w:rsid w:val="00893EE9"/>
    <w:rsid w:val="00894EFD"/>
    <w:rsid w:val="00896AC3"/>
    <w:rsid w:val="00897577"/>
    <w:rsid w:val="008A32D3"/>
    <w:rsid w:val="008A4CA3"/>
    <w:rsid w:val="008A5BD1"/>
    <w:rsid w:val="008A7787"/>
    <w:rsid w:val="008B0007"/>
    <w:rsid w:val="008B219E"/>
    <w:rsid w:val="008B390F"/>
    <w:rsid w:val="008C2DEA"/>
    <w:rsid w:val="008D3537"/>
    <w:rsid w:val="008D5760"/>
    <w:rsid w:val="008D6382"/>
    <w:rsid w:val="008E4627"/>
    <w:rsid w:val="008E4943"/>
    <w:rsid w:val="008E4E7D"/>
    <w:rsid w:val="008E5DB2"/>
    <w:rsid w:val="008E76F2"/>
    <w:rsid w:val="008F1F8C"/>
    <w:rsid w:val="008F217D"/>
    <w:rsid w:val="009023ED"/>
    <w:rsid w:val="00902E16"/>
    <w:rsid w:val="009035C6"/>
    <w:rsid w:val="00904191"/>
    <w:rsid w:val="00906157"/>
    <w:rsid w:val="009107BD"/>
    <w:rsid w:val="009155A8"/>
    <w:rsid w:val="00915DCF"/>
    <w:rsid w:val="00916232"/>
    <w:rsid w:val="00917729"/>
    <w:rsid w:val="009207B8"/>
    <w:rsid w:val="00922993"/>
    <w:rsid w:val="00923AC5"/>
    <w:rsid w:val="009244BA"/>
    <w:rsid w:val="009258B5"/>
    <w:rsid w:val="00927496"/>
    <w:rsid w:val="00930E84"/>
    <w:rsid w:val="0093201F"/>
    <w:rsid w:val="00936E66"/>
    <w:rsid w:val="009433B7"/>
    <w:rsid w:val="00946B62"/>
    <w:rsid w:val="00950A0C"/>
    <w:rsid w:val="009511B4"/>
    <w:rsid w:val="00951450"/>
    <w:rsid w:val="00953D4A"/>
    <w:rsid w:val="00954AED"/>
    <w:rsid w:val="00954E62"/>
    <w:rsid w:val="009575DB"/>
    <w:rsid w:val="009643C0"/>
    <w:rsid w:val="00965D23"/>
    <w:rsid w:val="0097016D"/>
    <w:rsid w:val="00971A43"/>
    <w:rsid w:val="009728DA"/>
    <w:rsid w:val="00976477"/>
    <w:rsid w:val="00977700"/>
    <w:rsid w:val="00980428"/>
    <w:rsid w:val="00980C0D"/>
    <w:rsid w:val="00982F7B"/>
    <w:rsid w:val="009847D5"/>
    <w:rsid w:val="009850A6"/>
    <w:rsid w:val="009871C7"/>
    <w:rsid w:val="0099038E"/>
    <w:rsid w:val="00992DD0"/>
    <w:rsid w:val="00994347"/>
    <w:rsid w:val="00994D4C"/>
    <w:rsid w:val="00996919"/>
    <w:rsid w:val="00997FCF"/>
    <w:rsid w:val="009A090A"/>
    <w:rsid w:val="009A1312"/>
    <w:rsid w:val="009A16EF"/>
    <w:rsid w:val="009A2077"/>
    <w:rsid w:val="009A27A0"/>
    <w:rsid w:val="009B2061"/>
    <w:rsid w:val="009B35EA"/>
    <w:rsid w:val="009B410F"/>
    <w:rsid w:val="009B6833"/>
    <w:rsid w:val="009C062A"/>
    <w:rsid w:val="009C1CFA"/>
    <w:rsid w:val="009C2060"/>
    <w:rsid w:val="009C221D"/>
    <w:rsid w:val="009C2561"/>
    <w:rsid w:val="009C2E8D"/>
    <w:rsid w:val="009D08C0"/>
    <w:rsid w:val="009D0D74"/>
    <w:rsid w:val="009D52A7"/>
    <w:rsid w:val="009E111D"/>
    <w:rsid w:val="009E1BDB"/>
    <w:rsid w:val="009E1F39"/>
    <w:rsid w:val="009E2202"/>
    <w:rsid w:val="009E6DEF"/>
    <w:rsid w:val="009E6E56"/>
    <w:rsid w:val="009E7770"/>
    <w:rsid w:val="009F3811"/>
    <w:rsid w:val="009F3CEE"/>
    <w:rsid w:val="009F6973"/>
    <w:rsid w:val="009F7696"/>
    <w:rsid w:val="00A0060D"/>
    <w:rsid w:val="00A10F6E"/>
    <w:rsid w:val="00A12757"/>
    <w:rsid w:val="00A17D59"/>
    <w:rsid w:val="00A21E73"/>
    <w:rsid w:val="00A23009"/>
    <w:rsid w:val="00A24499"/>
    <w:rsid w:val="00A27BBA"/>
    <w:rsid w:val="00A3455C"/>
    <w:rsid w:val="00A34AEE"/>
    <w:rsid w:val="00A35186"/>
    <w:rsid w:val="00A36042"/>
    <w:rsid w:val="00A37AE2"/>
    <w:rsid w:val="00A4145F"/>
    <w:rsid w:val="00A44370"/>
    <w:rsid w:val="00A44DDB"/>
    <w:rsid w:val="00A468FC"/>
    <w:rsid w:val="00A46A5F"/>
    <w:rsid w:val="00A525EE"/>
    <w:rsid w:val="00A53E38"/>
    <w:rsid w:val="00A541C2"/>
    <w:rsid w:val="00A54D61"/>
    <w:rsid w:val="00A579DF"/>
    <w:rsid w:val="00A60B7D"/>
    <w:rsid w:val="00A66341"/>
    <w:rsid w:val="00A71521"/>
    <w:rsid w:val="00A72579"/>
    <w:rsid w:val="00A7667D"/>
    <w:rsid w:val="00A81FA2"/>
    <w:rsid w:val="00A854AC"/>
    <w:rsid w:val="00A855D9"/>
    <w:rsid w:val="00A9125F"/>
    <w:rsid w:val="00A976F0"/>
    <w:rsid w:val="00AA308D"/>
    <w:rsid w:val="00AA49A3"/>
    <w:rsid w:val="00AA63F0"/>
    <w:rsid w:val="00AA78DB"/>
    <w:rsid w:val="00AB0016"/>
    <w:rsid w:val="00AB0AFD"/>
    <w:rsid w:val="00AB1475"/>
    <w:rsid w:val="00AB34DC"/>
    <w:rsid w:val="00AC1383"/>
    <w:rsid w:val="00AC1CC7"/>
    <w:rsid w:val="00AC6B49"/>
    <w:rsid w:val="00AD3AF1"/>
    <w:rsid w:val="00AE1A8C"/>
    <w:rsid w:val="00AE2750"/>
    <w:rsid w:val="00AF41C6"/>
    <w:rsid w:val="00B0028E"/>
    <w:rsid w:val="00B023ED"/>
    <w:rsid w:val="00B040AC"/>
    <w:rsid w:val="00B04180"/>
    <w:rsid w:val="00B07155"/>
    <w:rsid w:val="00B07A97"/>
    <w:rsid w:val="00B10587"/>
    <w:rsid w:val="00B110B7"/>
    <w:rsid w:val="00B11D7A"/>
    <w:rsid w:val="00B13945"/>
    <w:rsid w:val="00B13B6B"/>
    <w:rsid w:val="00B166FE"/>
    <w:rsid w:val="00B22D74"/>
    <w:rsid w:val="00B25211"/>
    <w:rsid w:val="00B25EB6"/>
    <w:rsid w:val="00B26BC6"/>
    <w:rsid w:val="00B330B9"/>
    <w:rsid w:val="00B35E91"/>
    <w:rsid w:val="00B37536"/>
    <w:rsid w:val="00B4585D"/>
    <w:rsid w:val="00B503A9"/>
    <w:rsid w:val="00B61305"/>
    <w:rsid w:val="00B618CB"/>
    <w:rsid w:val="00B63959"/>
    <w:rsid w:val="00B7022B"/>
    <w:rsid w:val="00B730DC"/>
    <w:rsid w:val="00B73667"/>
    <w:rsid w:val="00B73F46"/>
    <w:rsid w:val="00B8173E"/>
    <w:rsid w:val="00B82172"/>
    <w:rsid w:val="00B84121"/>
    <w:rsid w:val="00B861B2"/>
    <w:rsid w:val="00B914BA"/>
    <w:rsid w:val="00B93CD1"/>
    <w:rsid w:val="00B94357"/>
    <w:rsid w:val="00B945DF"/>
    <w:rsid w:val="00B95B9B"/>
    <w:rsid w:val="00B97EED"/>
    <w:rsid w:val="00BA0ADD"/>
    <w:rsid w:val="00BA0ED8"/>
    <w:rsid w:val="00BA1D6B"/>
    <w:rsid w:val="00BA3317"/>
    <w:rsid w:val="00BA77EC"/>
    <w:rsid w:val="00BB76BA"/>
    <w:rsid w:val="00BC15BE"/>
    <w:rsid w:val="00BC4522"/>
    <w:rsid w:val="00BC53AD"/>
    <w:rsid w:val="00BC5627"/>
    <w:rsid w:val="00BC6078"/>
    <w:rsid w:val="00BC7EC9"/>
    <w:rsid w:val="00BD158F"/>
    <w:rsid w:val="00BD3A92"/>
    <w:rsid w:val="00BD6FD6"/>
    <w:rsid w:val="00BE0225"/>
    <w:rsid w:val="00BE5AC2"/>
    <w:rsid w:val="00BE77F5"/>
    <w:rsid w:val="00BF418B"/>
    <w:rsid w:val="00BF6895"/>
    <w:rsid w:val="00BF7ED0"/>
    <w:rsid w:val="00C026E0"/>
    <w:rsid w:val="00C032E6"/>
    <w:rsid w:val="00C047F8"/>
    <w:rsid w:val="00C07C4E"/>
    <w:rsid w:val="00C11BCF"/>
    <w:rsid w:val="00C140B0"/>
    <w:rsid w:val="00C1415C"/>
    <w:rsid w:val="00C14670"/>
    <w:rsid w:val="00C15601"/>
    <w:rsid w:val="00C2067E"/>
    <w:rsid w:val="00C217EA"/>
    <w:rsid w:val="00C24ABB"/>
    <w:rsid w:val="00C303E9"/>
    <w:rsid w:val="00C314BB"/>
    <w:rsid w:val="00C344A2"/>
    <w:rsid w:val="00C3694C"/>
    <w:rsid w:val="00C37027"/>
    <w:rsid w:val="00C41073"/>
    <w:rsid w:val="00C41D11"/>
    <w:rsid w:val="00C43FA4"/>
    <w:rsid w:val="00C45187"/>
    <w:rsid w:val="00C50588"/>
    <w:rsid w:val="00C50603"/>
    <w:rsid w:val="00C519E1"/>
    <w:rsid w:val="00C56407"/>
    <w:rsid w:val="00C703B5"/>
    <w:rsid w:val="00C70CAA"/>
    <w:rsid w:val="00C72CA7"/>
    <w:rsid w:val="00C74239"/>
    <w:rsid w:val="00C744A6"/>
    <w:rsid w:val="00C76A5C"/>
    <w:rsid w:val="00C80FEE"/>
    <w:rsid w:val="00C8435C"/>
    <w:rsid w:val="00C84BA7"/>
    <w:rsid w:val="00C86F88"/>
    <w:rsid w:val="00C91332"/>
    <w:rsid w:val="00C92D84"/>
    <w:rsid w:val="00C9601F"/>
    <w:rsid w:val="00C97DE7"/>
    <w:rsid w:val="00CA182E"/>
    <w:rsid w:val="00CA1E6C"/>
    <w:rsid w:val="00CA2987"/>
    <w:rsid w:val="00CA4D6C"/>
    <w:rsid w:val="00CA56E8"/>
    <w:rsid w:val="00CA75E8"/>
    <w:rsid w:val="00CA7B21"/>
    <w:rsid w:val="00CB1149"/>
    <w:rsid w:val="00CB1420"/>
    <w:rsid w:val="00CB1F3C"/>
    <w:rsid w:val="00CB2BA5"/>
    <w:rsid w:val="00CB48D4"/>
    <w:rsid w:val="00CC471C"/>
    <w:rsid w:val="00CC5928"/>
    <w:rsid w:val="00CC68C2"/>
    <w:rsid w:val="00CC6ECB"/>
    <w:rsid w:val="00CC7869"/>
    <w:rsid w:val="00CD0050"/>
    <w:rsid w:val="00CD2F7A"/>
    <w:rsid w:val="00CD5662"/>
    <w:rsid w:val="00CE16C0"/>
    <w:rsid w:val="00CE1745"/>
    <w:rsid w:val="00CE1840"/>
    <w:rsid w:val="00CE3594"/>
    <w:rsid w:val="00CE3A1F"/>
    <w:rsid w:val="00CE6371"/>
    <w:rsid w:val="00CF27AE"/>
    <w:rsid w:val="00CF3779"/>
    <w:rsid w:val="00CF3E6D"/>
    <w:rsid w:val="00CF791C"/>
    <w:rsid w:val="00CF794B"/>
    <w:rsid w:val="00D00686"/>
    <w:rsid w:val="00D0106B"/>
    <w:rsid w:val="00D045A1"/>
    <w:rsid w:val="00D046E6"/>
    <w:rsid w:val="00D06A1E"/>
    <w:rsid w:val="00D07EF1"/>
    <w:rsid w:val="00D1061D"/>
    <w:rsid w:val="00D13E6D"/>
    <w:rsid w:val="00D15B6B"/>
    <w:rsid w:val="00D17EA3"/>
    <w:rsid w:val="00D20C2C"/>
    <w:rsid w:val="00D20CD0"/>
    <w:rsid w:val="00D24980"/>
    <w:rsid w:val="00D25727"/>
    <w:rsid w:val="00D33A0B"/>
    <w:rsid w:val="00D3483C"/>
    <w:rsid w:val="00D35406"/>
    <w:rsid w:val="00D37BA6"/>
    <w:rsid w:val="00D40B79"/>
    <w:rsid w:val="00D41590"/>
    <w:rsid w:val="00D419A0"/>
    <w:rsid w:val="00D43DF7"/>
    <w:rsid w:val="00D449D7"/>
    <w:rsid w:val="00D4689E"/>
    <w:rsid w:val="00D501FC"/>
    <w:rsid w:val="00D529DE"/>
    <w:rsid w:val="00D54E3E"/>
    <w:rsid w:val="00D56D43"/>
    <w:rsid w:val="00D62E68"/>
    <w:rsid w:val="00D64BEA"/>
    <w:rsid w:val="00D64C6C"/>
    <w:rsid w:val="00D72069"/>
    <w:rsid w:val="00D744E4"/>
    <w:rsid w:val="00D745F1"/>
    <w:rsid w:val="00D756CE"/>
    <w:rsid w:val="00D75A72"/>
    <w:rsid w:val="00D77EED"/>
    <w:rsid w:val="00D8022D"/>
    <w:rsid w:val="00D81D51"/>
    <w:rsid w:val="00D833B5"/>
    <w:rsid w:val="00D90CAE"/>
    <w:rsid w:val="00D91E44"/>
    <w:rsid w:val="00D92848"/>
    <w:rsid w:val="00D92853"/>
    <w:rsid w:val="00D94FA6"/>
    <w:rsid w:val="00DA1A70"/>
    <w:rsid w:val="00DA1DA1"/>
    <w:rsid w:val="00DA34E2"/>
    <w:rsid w:val="00DA580F"/>
    <w:rsid w:val="00DA5869"/>
    <w:rsid w:val="00DA5F71"/>
    <w:rsid w:val="00DB3438"/>
    <w:rsid w:val="00DB3F90"/>
    <w:rsid w:val="00DB47CF"/>
    <w:rsid w:val="00DB54E9"/>
    <w:rsid w:val="00DB56C8"/>
    <w:rsid w:val="00DB6A41"/>
    <w:rsid w:val="00DB72BB"/>
    <w:rsid w:val="00DB7E07"/>
    <w:rsid w:val="00DC06E2"/>
    <w:rsid w:val="00DC297A"/>
    <w:rsid w:val="00DD0395"/>
    <w:rsid w:val="00DD2662"/>
    <w:rsid w:val="00DD451D"/>
    <w:rsid w:val="00DD65D8"/>
    <w:rsid w:val="00DD6D65"/>
    <w:rsid w:val="00DE0D8B"/>
    <w:rsid w:val="00DE184C"/>
    <w:rsid w:val="00DE2122"/>
    <w:rsid w:val="00DE2FA7"/>
    <w:rsid w:val="00DE43B1"/>
    <w:rsid w:val="00DE530B"/>
    <w:rsid w:val="00DE6297"/>
    <w:rsid w:val="00DF363B"/>
    <w:rsid w:val="00DF3A47"/>
    <w:rsid w:val="00DF5A87"/>
    <w:rsid w:val="00E00D33"/>
    <w:rsid w:val="00E07A55"/>
    <w:rsid w:val="00E07A9E"/>
    <w:rsid w:val="00E10B41"/>
    <w:rsid w:val="00E12BE7"/>
    <w:rsid w:val="00E144BA"/>
    <w:rsid w:val="00E168FD"/>
    <w:rsid w:val="00E17A61"/>
    <w:rsid w:val="00E2481B"/>
    <w:rsid w:val="00E26606"/>
    <w:rsid w:val="00E30100"/>
    <w:rsid w:val="00E32112"/>
    <w:rsid w:val="00E32B0A"/>
    <w:rsid w:val="00E35083"/>
    <w:rsid w:val="00E35CE8"/>
    <w:rsid w:val="00E37B2B"/>
    <w:rsid w:val="00E402B3"/>
    <w:rsid w:val="00E40736"/>
    <w:rsid w:val="00E40C33"/>
    <w:rsid w:val="00E44038"/>
    <w:rsid w:val="00E44243"/>
    <w:rsid w:val="00E452A6"/>
    <w:rsid w:val="00E45CBD"/>
    <w:rsid w:val="00E471EF"/>
    <w:rsid w:val="00E50043"/>
    <w:rsid w:val="00E51927"/>
    <w:rsid w:val="00E57CFF"/>
    <w:rsid w:val="00E62166"/>
    <w:rsid w:val="00E66993"/>
    <w:rsid w:val="00E67366"/>
    <w:rsid w:val="00E709CA"/>
    <w:rsid w:val="00E72163"/>
    <w:rsid w:val="00E75EDA"/>
    <w:rsid w:val="00E761D0"/>
    <w:rsid w:val="00E76DF8"/>
    <w:rsid w:val="00E8123D"/>
    <w:rsid w:val="00E82840"/>
    <w:rsid w:val="00E8469A"/>
    <w:rsid w:val="00E91527"/>
    <w:rsid w:val="00E953C4"/>
    <w:rsid w:val="00EA1032"/>
    <w:rsid w:val="00EA1FEA"/>
    <w:rsid w:val="00EA5CCF"/>
    <w:rsid w:val="00EA6850"/>
    <w:rsid w:val="00EB0526"/>
    <w:rsid w:val="00EB1CB5"/>
    <w:rsid w:val="00EB2110"/>
    <w:rsid w:val="00EB304E"/>
    <w:rsid w:val="00EB51F2"/>
    <w:rsid w:val="00EC29FC"/>
    <w:rsid w:val="00EC2B87"/>
    <w:rsid w:val="00ED3F06"/>
    <w:rsid w:val="00ED4092"/>
    <w:rsid w:val="00ED4093"/>
    <w:rsid w:val="00ED4569"/>
    <w:rsid w:val="00ED478C"/>
    <w:rsid w:val="00ED48CA"/>
    <w:rsid w:val="00ED5E2F"/>
    <w:rsid w:val="00EE305E"/>
    <w:rsid w:val="00EE4BBD"/>
    <w:rsid w:val="00EE4E3A"/>
    <w:rsid w:val="00EE58C5"/>
    <w:rsid w:val="00EE6522"/>
    <w:rsid w:val="00EE6D44"/>
    <w:rsid w:val="00EF316A"/>
    <w:rsid w:val="00EF448C"/>
    <w:rsid w:val="00EF5A99"/>
    <w:rsid w:val="00EF5B74"/>
    <w:rsid w:val="00EF6622"/>
    <w:rsid w:val="00F030C0"/>
    <w:rsid w:val="00F05595"/>
    <w:rsid w:val="00F0645D"/>
    <w:rsid w:val="00F071A5"/>
    <w:rsid w:val="00F247AB"/>
    <w:rsid w:val="00F379D0"/>
    <w:rsid w:val="00F4314D"/>
    <w:rsid w:val="00F4488D"/>
    <w:rsid w:val="00F44BD2"/>
    <w:rsid w:val="00F4502E"/>
    <w:rsid w:val="00F4595C"/>
    <w:rsid w:val="00F460A8"/>
    <w:rsid w:val="00F53E85"/>
    <w:rsid w:val="00F545DD"/>
    <w:rsid w:val="00F569CD"/>
    <w:rsid w:val="00F62E72"/>
    <w:rsid w:val="00F633CA"/>
    <w:rsid w:val="00F64343"/>
    <w:rsid w:val="00F650B0"/>
    <w:rsid w:val="00F72136"/>
    <w:rsid w:val="00F72A77"/>
    <w:rsid w:val="00F76CD3"/>
    <w:rsid w:val="00F8115D"/>
    <w:rsid w:val="00F84713"/>
    <w:rsid w:val="00F87298"/>
    <w:rsid w:val="00F96982"/>
    <w:rsid w:val="00F97158"/>
    <w:rsid w:val="00FA16D3"/>
    <w:rsid w:val="00FA1CDD"/>
    <w:rsid w:val="00FA2FE4"/>
    <w:rsid w:val="00FA30AD"/>
    <w:rsid w:val="00FA3EF9"/>
    <w:rsid w:val="00FA4CB5"/>
    <w:rsid w:val="00FA52A6"/>
    <w:rsid w:val="00FA6304"/>
    <w:rsid w:val="00FB08C4"/>
    <w:rsid w:val="00FB11DE"/>
    <w:rsid w:val="00FB1A08"/>
    <w:rsid w:val="00FC056C"/>
    <w:rsid w:val="00FC5C1B"/>
    <w:rsid w:val="00FC655A"/>
    <w:rsid w:val="00FC6819"/>
    <w:rsid w:val="00FD3E72"/>
    <w:rsid w:val="00FD69B4"/>
    <w:rsid w:val="00FD6A3F"/>
    <w:rsid w:val="00FE08DE"/>
    <w:rsid w:val="00FF0BEB"/>
    <w:rsid w:val="00FF4746"/>
    <w:rsid w:val="00FF52ED"/>
    <w:rsid w:val="00FF6207"/>
    <w:rsid w:val="00FF710B"/>
    <w:rsid w:val="00FF718E"/>
    <w:rsid w:val="00FF7BB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BE7"/>
  </w:style>
  <w:style w:type="paragraph" w:styleId="Ttulo1">
    <w:name w:val="heading 1"/>
    <w:basedOn w:val="Normal"/>
    <w:next w:val="Normal"/>
    <w:link w:val="Ttulo1Car"/>
    <w:uiPriority w:val="9"/>
    <w:qFormat/>
    <w:rsid w:val="007141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3126CE"/>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Ttulo3">
    <w:name w:val="heading 3"/>
    <w:basedOn w:val="Normal"/>
    <w:next w:val="Normal"/>
    <w:link w:val="Ttulo3Car"/>
    <w:uiPriority w:val="9"/>
    <w:unhideWhenUsed/>
    <w:qFormat/>
    <w:rsid w:val="00CA1E6C"/>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A525E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126CE"/>
    <w:rPr>
      <w:rFonts w:asciiTheme="majorHAnsi" w:eastAsiaTheme="majorEastAsia" w:hAnsiTheme="majorHAnsi" w:cstheme="majorBidi"/>
      <w:b/>
      <w:bCs/>
      <w:color w:val="4F81BD" w:themeColor="accent1"/>
      <w:sz w:val="26"/>
      <w:szCs w:val="26"/>
      <w:lang w:eastAsia="en-US"/>
    </w:rPr>
  </w:style>
  <w:style w:type="paragraph" w:styleId="NormalWeb">
    <w:name w:val="Normal (Web)"/>
    <w:basedOn w:val="Normal"/>
    <w:uiPriority w:val="99"/>
    <w:unhideWhenUsed/>
    <w:rsid w:val="003126CE"/>
    <w:pPr>
      <w:spacing w:before="100" w:beforeAutospacing="1" w:after="100" w:afterAutospacing="1" w:line="240" w:lineRule="auto"/>
    </w:pPr>
    <w:rPr>
      <w:rFonts w:ascii="Times New Roman" w:eastAsia="Times New Roman" w:hAnsi="Times New Roman" w:cs="Times New Roman"/>
      <w:sz w:val="24"/>
      <w:szCs w:val="24"/>
    </w:rPr>
  </w:style>
  <w:style w:type="paragraph" w:styleId="Textonotapie">
    <w:name w:val="footnote text"/>
    <w:aliases w:val="Footnote,Fußnote"/>
    <w:basedOn w:val="Normal"/>
    <w:link w:val="TextonotapieCar"/>
    <w:uiPriority w:val="99"/>
    <w:unhideWhenUsed/>
    <w:rsid w:val="003126CE"/>
    <w:pPr>
      <w:spacing w:after="0" w:line="240" w:lineRule="auto"/>
    </w:pPr>
    <w:rPr>
      <w:rFonts w:eastAsiaTheme="minorHAnsi"/>
      <w:sz w:val="20"/>
      <w:szCs w:val="20"/>
      <w:lang w:eastAsia="en-US"/>
    </w:rPr>
  </w:style>
  <w:style w:type="character" w:customStyle="1" w:styleId="TextonotapieCar">
    <w:name w:val="Texto nota pie Car"/>
    <w:aliases w:val="Footnote Car,Fußnote Car"/>
    <w:basedOn w:val="Fuentedeprrafopredeter"/>
    <w:link w:val="Textonotapie"/>
    <w:uiPriority w:val="99"/>
    <w:rsid w:val="003126CE"/>
    <w:rPr>
      <w:rFonts w:eastAsiaTheme="minorHAnsi"/>
      <w:sz w:val="20"/>
      <w:szCs w:val="20"/>
      <w:lang w:eastAsia="en-US"/>
    </w:rPr>
  </w:style>
  <w:style w:type="character" w:styleId="Refdenotaalpie">
    <w:name w:val="footnote reference"/>
    <w:aliases w:val="Footnote Reference_LVL6,Footnote Reference_LVL61,Footnote Reference_LVL62,Footnote Reference_LVL63,Footnote Reference_LVL64,Footnote Reference Number"/>
    <w:basedOn w:val="Fuentedeprrafopredeter"/>
    <w:uiPriority w:val="99"/>
    <w:semiHidden/>
    <w:unhideWhenUsed/>
    <w:rsid w:val="003126CE"/>
    <w:rPr>
      <w:vertAlign w:val="superscript"/>
    </w:rPr>
  </w:style>
  <w:style w:type="paragraph" w:customStyle="1" w:styleId="Default">
    <w:name w:val="Default"/>
    <w:rsid w:val="003126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Encabezado">
    <w:name w:val="header"/>
    <w:basedOn w:val="Normal"/>
    <w:link w:val="EncabezadoCar"/>
    <w:uiPriority w:val="99"/>
    <w:unhideWhenUsed/>
    <w:rsid w:val="003126CE"/>
    <w:pPr>
      <w:tabs>
        <w:tab w:val="center" w:pos="4252"/>
        <w:tab w:val="right" w:pos="8504"/>
      </w:tabs>
      <w:spacing w:after="0" w:line="240" w:lineRule="auto"/>
    </w:pPr>
    <w:rPr>
      <w:rFonts w:eastAsiaTheme="minorHAnsi"/>
      <w:lang w:eastAsia="en-US"/>
    </w:rPr>
  </w:style>
  <w:style w:type="character" w:customStyle="1" w:styleId="EncabezadoCar">
    <w:name w:val="Encabezado Car"/>
    <w:basedOn w:val="Fuentedeprrafopredeter"/>
    <w:link w:val="Encabezado"/>
    <w:uiPriority w:val="99"/>
    <w:rsid w:val="003126CE"/>
    <w:rPr>
      <w:rFonts w:eastAsiaTheme="minorHAnsi"/>
      <w:lang w:eastAsia="en-US"/>
    </w:rPr>
  </w:style>
  <w:style w:type="paragraph" w:styleId="Piedepgina">
    <w:name w:val="footer"/>
    <w:basedOn w:val="Normal"/>
    <w:link w:val="PiedepginaCar"/>
    <w:uiPriority w:val="99"/>
    <w:unhideWhenUsed/>
    <w:rsid w:val="003126CE"/>
    <w:pPr>
      <w:tabs>
        <w:tab w:val="center" w:pos="4252"/>
        <w:tab w:val="right" w:pos="8504"/>
      </w:tabs>
      <w:spacing w:after="0" w:line="240" w:lineRule="auto"/>
    </w:pPr>
    <w:rPr>
      <w:rFonts w:eastAsiaTheme="minorHAnsi"/>
      <w:lang w:eastAsia="en-US"/>
    </w:rPr>
  </w:style>
  <w:style w:type="character" w:customStyle="1" w:styleId="PiedepginaCar">
    <w:name w:val="Pie de página Car"/>
    <w:basedOn w:val="Fuentedeprrafopredeter"/>
    <w:link w:val="Piedepgina"/>
    <w:uiPriority w:val="99"/>
    <w:rsid w:val="003126CE"/>
    <w:rPr>
      <w:rFonts w:eastAsiaTheme="minorHAnsi"/>
      <w:lang w:eastAsia="en-US"/>
    </w:rPr>
  </w:style>
  <w:style w:type="character" w:styleId="CitaHTML">
    <w:name w:val="HTML Cite"/>
    <w:basedOn w:val="Fuentedeprrafopredeter"/>
    <w:uiPriority w:val="99"/>
    <w:semiHidden/>
    <w:unhideWhenUsed/>
    <w:rsid w:val="003126CE"/>
    <w:rPr>
      <w:i/>
      <w:iCs/>
    </w:rPr>
  </w:style>
  <w:style w:type="paragraph" w:customStyle="1" w:styleId="doc-ti">
    <w:name w:val="doc-ti"/>
    <w:basedOn w:val="Normal"/>
    <w:rsid w:val="003126CE"/>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3126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26CE"/>
    <w:rPr>
      <w:rFonts w:ascii="Tahoma" w:hAnsi="Tahoma" w:cs="Tahoma"/>
      <w:sz w:val="16"/>
      <w:szCs w:val="16"/>
    </w:rPr>
  </w:style>
  <w:style w:type="table" w:styleId="Tablaconcuadrcula">
    <w:name w:val="Table Grid"/>
    <w:basedOn w:val="Tablanormal"/>
    <w:uiPriority w:val="59"/>
    <w:rsid w:val="003126C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conformatoprevio">
    <w:name w:val="HTML Preformatted"/>
    <w:basedOn w:val="Normal"/>
    <w:link w:val="HTMLconformatoprevioCar"/>
    <w:uiPriority w:val="99"/>
    <w:unhideWhenUsed/>
    <w:rsid w:val="00312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rsid w:val="003126CE"/>
    <w:rPr>
      <w:rFonts w:ascii="Courier New" w:eastAsia="Times New Roman" w:hAnsi="Courier New" w:cs="Courier New"/>
      <w:sz w:val="20"/>
      <w:szCs w:val="20"/>
    </w:rPr>
  </w:style>
  <w:style w:type="paragraph" w:styleId="Prrafodelista">
    <w:name w:val="List Paragraph"/>
    <w:basedOn w:val="Normal"/>
    <w:uiPriority w:val="34"/>
    <w:qFormat/>
    <w:rsid w:val="003126CE"/>
    <w:pPr>
      <w:ind w:left="720"/>
      <w:contextualSpacing/>
    </w:pPr>
    <w:rPr>
      <w:rFonts w:eastAsiaTheme="minorHAnsi"/>
      <w:lang w:eastAsia="en-US"/>
    </w:rPr>
  </w:style>
  <w:style w:type="paragraph" w:customStyle="1" w:styleId="parrafo">
    <w:name w:val="parrafo"/>
    <w:basedOn w:val="Normal"/>
    <w:rsid w:val="003126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rafo2">
    <w:name w:val="parrafo_2"/>
    <w:basedOn w:val="Normal"/>
    <w:rsid w:val="003126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57">
    <w:name w:val="CM57"/>
    <w:basedOn w:val="Default"/>
    <w:next w:val="Default"/>
    <w:uiPriority w:val="99"/>
    <w:rsid w:val="003126CE"/>
    <w:rPr>
      <w:color w:val="auto"/>
    </w:rPr>
  </w:style>
  <w:style w:type="character" w:styleId="nfasis">
    <w:name w:val="Emphasis"/>
    <w:basedOn w:val="Fuentedeprrafopredeter"/>
    <w:uiPriority w:val="20"/>
    <w:qFormat/>
    <w:rsid w:val="00D54E3E"/>
    <w:rPr>
      <w:i/>
      <w:iCs/>
    </w:rPr>
  </w:style>
  <w:style w:type="paragraph" w:customStyle="1" w:styleId="a">
    <w:name w:val="a"/>
    <w:basedOn w:val="Normal"/>
    <w:rsid w:val="00D54E3E"/>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D54E3E"/>
    <w:rPr>
      <w:color w:val="0000FF"/>
      <w:u w:val="single"/>
    </w:rPr>
  </w:style>
  <w:style w:type="character" w:customStyle="1" w:styleId="none">
    <w:name w:val="none"/>
    <w:basedOn w:val="Fuentedeprrafopredeter"/>
    <w:rsid w:val="00D54E3E"/>
  </w:style>
  <w:style w:type="character" w:styleId="Textoennegrita">
    <w:name w:val="Strong"/>
    <w:basedOn w:val="Fuentedeprrafopredeter"/>
    <w:uiPriority w:val="22"/>
    <w:qFormat/>
    <w:rsid w:val="005B72A1"/>
    <w:rPr>
      <w:b/>
      <w:bCs/>
    </w:rPr>
  </w:style>
  <w:style w:type="paragraph" w:customStyle="1" w:styleId="CM40">
    <w:name w:val="CM40"/>
    <w:basedOn w:val="Default"/>
    <w:next w:val="Default"/>
    <w:uiPriority w:val="99"/>
    <w:rsid w:val="00B8173E"/>
    <w:rPr>
      <w:rFonts w:eastAsiaTheme="minorEastAsia"/>
      <w:color w:val="auto"/>
      <w:lang w:eastAsia="es-ES"/>
    </w:rPr>
  </w:style>
  <w:style w:type="paragraph" w:customStyle="1" w:styleId="CM38">
    <w:name w:val="CM38"/>
    <w:basedOn w:val="Default"/>
    <w:next w:val="Default"/>
    <w:uiPriority w:val="99"/>
    <w:rsid w:val="00B8173E"/>
    <w:rPr>
      <w:rFonts w:eastAsiaTheme="minorEastAsia"/>
      <w:color w:val="auto"/>
      <w:lang w:eastAsia="es-ES"/>
    </w:rPr>
  </w:style>
  <w:style w:type="character" w:customStyle="1" w:styleId="Ttulo4Car">
    <w:name w:val="Título 4 Car"/>
    <w:basedOn w:val="Fuentedeprrafopredeter"/>
    <w:link w:val="Ttulo4"/>
    <w:uiPriority w:val="9"/>
    <w:rsid w:val="00A525EE"/>
    <w:rPr>
      <w:rFonts w:asciiTheme="majorHAnsi" w:eastAsiaTheme="majorEastAsia" w:hAnsiTheme="majorHAnsi" w:cstheme="majorBidi"/>
      <w:b/>
      <w:bCs/>
      <w:i/>
      <w:iCs/>
      <w:color w:val="4F81BD" w:themeColor="accent1"/>
    </w:rPr>
  </w:style>
  <w:style w:type="character" w:customStyle="1" w:styleId="A21">
    <w:name w:val="A21"/>
    <w:uiPriority w:val="99"/>
    <w:rsid w:val="005413A2"/>
    <w:rPr>
      <w:rFonts w:cs="Helvetica Condensed"/>
      <w:color w:val="000000"/>
      <w:sz w:val="11"/>
      <w:szCs w:val="11"/>
    </w:rPr>
  </w:style>
  <w:style w:type="paragraph" w:customStyle="1" w:styleId="Pa13">
    <w:name w:val="Pa13"/>
    <w:basedOn w:val="Default"/>
    <w:next w:val="Default"/>
    <w:uiPriority w:val="99"/>
    <w:rsid w:val="009E6DEF"/>
    <w:pPr>
      <w:spacing w:line="341" w:lineRule="atLeast"/>
    </w:pPr>
    <w:rPr>
      <w:rFonts w:ascii="Helvetica Condensed" w:eastAsiaTheme="minorEastAsia" w:hAnsi="Helvetica Condensed" w:cstheme="minorBidi"/>
      <w:color w:val="auto"/>
      <w:lang w:eastAsia="es-ES"/>
    </w:rPr>
  </w:style>
  <w:style w:type="paragraph" w:customStyle="1" w:styleId="titulo">
    <w:name w:val="titulo"/>
    <w:basedOn w:val="Normal"/>
    <w:rsid w:val="000E2B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ulo1">
    <w:name w:val="titulo1"/>
    <w:basedOn w:val="Fuentedeprrafopredeter"/>
    <w:rsid w:val="000E2BB9"/>
  </w:style>
  <w:style w:type="paragraph" w:customStyle="1" w:styleId="autores">
    <w:name w:val="autores"/>
    <w:basedOn w:val="Normal"/>
    <w:rsid w:val="000E2B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calizacion">
    <w:name w:val="localizacion"/>
    <w:basedOn w:val="Normal"/>
    <w:rsid w:val="000E2BB9"/>
    <w:pPr>
      <w:spacing w:before="100" w:beforeAutospacing="1" w:after="100" w:afterAutospacing="1" w:line="240" w:lineRule="auto"/>
    </w:pPr>
    <w:rPr>
      <w:rFonts w:ascii="Times New Roman" w:eastAsia="Times New Roman" w:hAnsi="Times New Roman" w:cs="Times New Roman"/>
      <w:sz w:val="24"/>
      <w:szCs w:val="24"/>
    </w:rPr>
  </w:style>
  <w:style w:type="character" w:styleId="AcrnimoHTML">
    <w:name w:val="HTML Acronym"/>
    <w:basedOn w:val="Fuentedeprrafopredeter"/>
    <w:uiPriority w:val="99"/>
    <w:semiHidden/>
    <w:unhideWhenUsed/>
    <w:rsid w:val="000E2BB9"/>
  </w:style>
  <w:style w:type="character" w:customStyle="1" w:styleId="Ttulo3Car">
    <w:name w:val="Título 3 Car"/>
    <w:basedOn w:val="Fuentedeprrafopredeter"/>
    <w:link w:val="Ttulo3"/>
    <w:uiPriority w:val="9"/>
    <w:rsid w:val="00CA1E6C"/>
    <w:rPr>
      <w:rFonts w:asciiTheme="majorHAnsi" w:eastAsiaTheme="majorEastAsia" w:hAnsiTheme="majorHAnsi" w:cstheme="majorBidi"/>
      <w:b/>
      <w:bCs/>
      <w:color w:val="4F81BD" w:themeColor="accent1"/>
    </w:rPr>
  </w:style>
  <w:style w:type="paragraph" w:customStyle="1" w:styleId="articulo">
    <w:name w:val="articulo"/>
    <w:basedOn w:val="Normal"/>
    <w:rsid w:val="00A44DDB"/>
    <w:pPr>
      <w:spacing w:before="100" w:beforeAutospacing="1" w:after="100" w:afterAutospacing="1" w:line="240" w:lineRule="auto"/>
    </w:pPr>
    <w:rPr>
      <w:rFonts w:ascii="Times New Roman" w:eastAsia="Times New Roman" w:hAnsi="Times New Roman" w:cs="Times New Roman"/>
      <w:sz w:val="24"/>
      <w:szCs w:val="24"/>
    </w:rPr>
  </w:style>
  <w:style w:type="paragraph" w:styleId="Sinespaciado">
    <w:name w:val="No Spacing"/>
    <w:uiPriority w:val="1"/>
    <w:qFormat/>
    <w:rsid w:val="00714139"/>
    <w:pPr>
      <w:spacing w:after="0" w:line="240" w:lineRule="auto"/>
    </w:pPr>
  </w:style>
  <w:style w:type="character" w:customStyle="1" w:styleId="Ttulo1Car">
    <w:name w:val="Título 1 Car"/>
    <w:basedOn w:val="Fuentedeprrafopredeter"/>
    <w:link w:val="Ttulo1"/>
    <w:uiPriority w:val="9"/>
    <w:rsid w:val="0071413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303721">
      <w:bodyDiv w:val="1"/>
      <w:marLeft w:val="0"/>
      <w:marRight w:val="0"/>
      <w:marTop w:val="0"/>
      <w:marBottom w:val="0"/>
      <w:divBdr>
        <w:top w:val="none" w:sz="0" w:space="0" w:color="auto"/>
        <w:left w:val="none" w:sz="0" w:space="0" w:color="auto"/>
        <w:bottom w:val="none" w:sz="0" w:space="0" w:color="auto"/>
        <w:right w:val="none" w:sz="0" w:space="0" w:color="auto"/>
      </w:divBdr>
      <w:divsChild>
        <w:div w:id="199635667">
          <w:marLeft w:val="0"/>
          <w:marRight w:val="0"/>
          <w:marTop w:val="0"/>
          <w:marBottom w:val="0"/>
          <w:divBdr>
            <w:top w:val="none" w:sz="0" w:space="0" w:color="auto"/>
            <w:left w:val="none" w:sz="0" w:space="0" w:color="auto"/>
            <w:bottom w:val="none" w:sz="0" w:space="0" w:color="auto"/>
            <w:right w:val="none" w:sz="0" w:space="0" w:color="auto"/>
          </w:divBdr>
        </w:div>
        <w:div w:id="1837921325">
          <w:marLeft w:val="0"/>
          <w:marRight w:val="0"/>
          <w:marTop w:val="0"/>
          <w:marBottom w:val="0"/>
          <w:divBdr>
            <w:top w:val="none" w:sz="0" w:space="0" w:color="auto"/>
            <w:left w:val="none" w:sz="0" w:space="0" w:color="auto"/>
            <w:bottom w:val="none" w:sz="0" w:space="0" w:color="auto"/>
            <w:right w:val="none" w:sz="0" w:space="0" w:color="auto"/>
          </w:divBdr>
        </w:div>
      </w:divsChild>
    </w:div>
    <w:div w:id="30107955">
      <w:bodyDiv w:val="1"/>
      <w:marLeft w:val="0"/>
      <w:marRight w:val="0"/>
      <w:marTop w:val="0"/>
      <w:marBottom w:val="0"/>
      <w:divBdr>
        <w:top w:val="none" w:sz="0" w:space="0" w:color="auto"/>
        <w:left w:val="none" w:sz="0" w:space="0" w:color="auto"/>
        <w:bottom w:val="none" w:sz="0" w:space="0" w:color="auto"/>
        <w:right w:val="none" w:sz="0" w:space="0" w:color="auto"/>
      </w:divBdr>
    </w:div>
    <w:div w:id="138426469">
      <w:bodyDiv w:val="1"/>
      <w:marLeft w:val="0"/>
      <w:marRight w:val="0"/>
      <w:marTop w:val="0"/>
      <w:marBottom w:val="0"/>
      <w:divBdr>
        <w:top w:val="none" w:sz="0" w:space="0" w:color="auto"/>
        <w:left w:val="none" w:sz="0" w:space="0" w:color="auto"/>
        <w:bottom w:val="none" w:sz="0" w:space="0" w:color="auto"/>
        <w:right w:val="none" w:sz="0" w:space="0" w:color="auto"/>
      </w:divBdr>
    </w:div>
    <w:div w:id="175269538">
      <w:bodyDiv w:val="1"/>
      <w:marLeft w:val="0"/>
      <w:marRight w:val="0"/>
      <w:marTop w:val="0"/>
      <w:marBottom w:val="0"/>
      <w:divBdr>
        <w:top w:val="none" w:sz="0" w:space="0" w:color="auto"/>
        <w:left w:val="none" w:sz="0" w:space="0" w:color="auto"/>
        <w:bottom w:val="none" w:sz="0" w:space="0" w:color="auto"/>
        <w:right w:val="none" w:sz="0" w:space="0" w:color="auto"/>
      </w:divBdr>
      <w:divsChild>
        <w:div w:id="1783112407">
          <w:marLeft w:val="0"/>
          <w:marRight w:val="0"/>
          <w:marTop w:val="0"/>
          <w:marBottom w:val="0"/>
          <w:divBdr>
            <w:top w:val="none" w:sz="0" w:space="0" w:color="auto"/>
            <w:left w:val="none" w:sz="0" w:space="0" w:color="auto"/>
            <w:bottom w:val="none" w:sz="0" w:space="0" w:color="auto"/>
            <w:right w:val="none" w:sz="0" w:space="0" w:color="auto"/>
          </w:divBdr>
        </w:div>
        <w:div w:id="617180550">
          <w:marLeft w:val="0"/>
          <w:marRight w:val="0"/>
          <w:marTop w:val="0"/>
          <w:marBottom w:val="0"/>
          <w:divBdr>
            <w:top w:val="none" w:sz="0" w:space="0" w:color="auto"/>
            <w:left w:val="none" w:sz="0" w:space="0" w:color="auto"/>
            <w:bottom w:val="none" w:sz="0" w:space="0" w:color="auto"/>
            <w:right w:val="none" w:sz="0" w:space="0" w:color="auto"/>
          </w:divBdr>
        </w:div>
        <w:div w:id="1223835913">
          <w:marLeft w:val="0"/>
          <w:marRight w:val="0"/>
          <w:marTop w:val="0"/>
          <w:marBottom w:val="0"/>
          <w:divBdr>
            <w:top w:val="none" w:sz="0" w:space="0" w:color="auto"/>
            <w:left w:val="none" w:sz="0" w:space="0" w:color="auto"/>
            <w:bottom w:val="none" w:sz="0" w:space="0" w:color="auto"/>
            <w:right w:val="none" w:sz="0" w:space="0" w:color="auto"/>
          </w:divBdr>
        </w:div>
      </w:divsChild>
    </w:div>
    <w:div w:id="294605994">
      <w:bodyDiv w:val="1"/>
      <w:marLeft w:val="0"/>
      <w:marRight w:val="0"/>
      <w:marTop w:val="0"/>
      <w:marBottom w:val="0"/>
      <w:divBdr>
        <w:top w:val="none" w:sz="0" w:space="0" w:color="auto"/>
        <w:left w:val="none" w:sz="0" w:space="0" w:color="auto"/>
        <w:bottom w:val="none" w:sz="0" w:space="0" w:color="auto"/>
        <w:right w:val="none" w:sz="0" w:space="0" w:color="auto"/>
      </w:divBdr>
      <w:divsChild>
        <w:div w:id="887453664">
          <w:marLeft w:val="0"/>
          <w:marRight w:val="0"/>
          <w:marTop w:val="0"/>
          <w:marBottom w:val="0"/>
          <w:divBdr>
            <w:top w:val="none" w:sz="0" w:space="0" w:color="auto"/>
            <w:left w:val="none" w:sz="0" w:space="0" w:color="auto"/>
            <w:bottom w:val="none" w:sz="0" w:space="0" w:color="auto"/>
            <w:right w:val="none" w:sz="0" w:space="0" w:color="auto"/>
          </w:divBdr>
        </w:div>
        <w:div w:id="56513287">
          <w:marLeft w:val="0"/>
          <w:marRight w:val="0"/>
          <w:marTop w:val="0"/>
          <w:marBottom w:val="0"/>
          <w:divBdr>
            <w:top w:val="none" w:sz="0" w:space="0" w:color="auto"/>
            <w:left w:val="none" w:sz="0" w:space="0" w:color="auto"/>
            <w:bottom w:val="none" w:sz="0" w:space="0" w:color="auto"/>
            <w:right w:val="none" w:sz="0" w:space="0" w:color="auto"/>
          </w:divBdr>
        </w:div>
        <w:div w:id="1370959509">
          <w:marLeft w:val="0"/>
          <w:marRight w:val="0"/>
          <w:marTop w:val="0"/>
          <w:marBottom w:val="0"/>
          <w:divBdr>
            <w:top w:val="none" w:sz="0" w:space="0" w:color="auto"/>
            <w:left w:val="none" w:sz="0" w:space="0" w:color="auto"/>
            <w:bottom w:val="none" w:sz="0" w:space="0" w:color="auto"/>
            <w:right w:val="none" w:sz="0" w:space="0" w:color="auto"/>
          </w:divBdr>
        </w:div>
        <w:div w:id="659696797">
          <w:marLeft w:val="0"/>
          <w:marRight w:val="0"/>
          <w:marTop w:val="0"/>
          <w:marBottom w:val="0"/>
          <w:divBdr>
            <w:top w:val="none" w:sz="0" w:space="0" w:color="auto"/>
            <w:left w:val="none" w:sz="0" w:space="0" w:color="auto"/>
            <w:bottom w:val="none" w:sz="0" w:space="0" w:color="auto"/>
            <w:right w:val="none" w:sz="0" w:space="0" w:color="auto"/>
          </w:divBdr>
        </w:div>
        <w:div w:id="728580790">
          <w:marLeft w:val="0"/>
          <w:marRight w:val="0"/>
          <w:marTop w:val="0"/>
          <w:marBottom w:val="0"/>
          <w:divBdr>
            <w:top w:val="none" w:sz="0" w:space="0" w:color="auto"/>
            <w:left w:val="none" w:sz="0" w:space="0" w:color="auto"/>
            <w:bottom w:val="none" w:sz="0" w:space="0" w:color="auto"/>
            <w:right w:val="none" w:sz="0" w:space="0" w:color="auto"/>
          </w:divBdr>
        </w:div>
        <w:div w:id="1314942934">
          <w:marLeft w:val="0"/>
          <w:marRight w:val="0"/>
          <w:marTop w:val="0"/>
          <w:marBottom w:val="0"/>
          <w:divBdr>
            <w:top w:val="none" w:sz="0" w:space="0" w:color="auto"/>
            <w:left w:val="none" w:sz="0" w:space="0" w:color="auto"/>
            <w:bottom w:val="none" w:sz="0" w:space="0" w:color="auto"/>
            <w:right w:val="none" w:sz="0" w:space="0" w:color="auto"/>
          </w:divBdr>
        </w:div>
        <w:div w:id="232618923">
          <w:marLeft w:val="0"/>
          <w:marRight w:val="0"/>
          <w:marTop w:val="0"/>
          <w:marBottom w:val="0"/>
          <w:divBdr>
            <w:top w:val="none" w:sz="0" w:space="0" w:color="auto"/>
            <w:left w:val="none" w:sz="0" w:space="0" w:color="auto"/>
            <w:bottom w:val="none" w:sz="0" w:space="0" w:color="auto"/>
            <w:right w:val="none" w:sz="0" w:space="0" w:color="auto"/>
          </w:divBdr>
        </w:div>
        <w:div w:id="1963613619">
          <w:marLeft w:val="0"/>
          <w:marRight w:val="0"/>
          <w:marTop w:val="0"/>
          <w:marBottom w:val="0"/>
          <w:divBdr>
            <w:top w:val="none" w:sz="0" w:space="0" w:color="auto"/>
            <w:left w:val="none" w:sz="0" w:space="0" w:color="auto"/>
            <w:bottom w:val="none" w:sz="0" w:space="0" w:color="auto"/>
            <w:right w:val="none" w:sz="0" w:space="0" w:color="auto"/>
          </w:divBdr>
        </w:div>
        <w:div w:id="1277561151">
          <w:marLeft w:val="0"/>
          <w:marRight w:val="0"/>
          <w:marTop w:val="0"/>
          <w:marBottom w:val="0"/>
          <w:divBdr>
            <w:top w:val="none" w:sz="0" w:space="0" w:color="auto"/>
            <w:left w:val="none" w:sz="0" w:space="0" w:color="auto"/>
            <w:bottom w:val="none" w:sz="0" w:space="0" w:color="auto"/>
            <w:right w:val="none" w:sz="0" w:space="0" w:color="auto"/>
          </w:divBdr>
        </w:div>
        <w:div w:id="802427077">
          <w:marLeft w:val="0"/>
          <w:marRight w:val="0"/>
          <w:marTop w:val="0"/>
          <w:marBottom w:val="0"/>
          <w:divBdr>
            <w:top w:val="none" w:sz="0" w:space="0" w:color="auto"/>
            <w:left w:val="none" w:sz="0" w:space="0" w:color="auto"/>
            <w:bottom w:val="none" w:sz="0" w:space="0" w:color="auto"/>
            <w:right w:val="none" w:sz="0" w:space="0" w:color="auto"/>
          </w:divBdr>
        </w:div>
        <w:div w:id="1608002916">
          <w:marLeft w:val="0"/>
          <w:marRight w:val="0"/>
          <w:marTop w:val="0"/>
          <w:marBottom w:val="0"/>
          <w:divBdr>
            <w:top w:val="none" w:sz="0" w:space="0" w:color="auto"/>
            <w:left w:val="none" w:sz="0" w:space="0" w:color="auto"/>
            <w:bottom w:val="none" w:sz="0" w:space="0" w:color="auto"/>
            <w:right w:val="none" w:sz="0" w:space="0" w:color="auto"/>
          </w:divBdr>
        </w:div>
        <w:div w:id="2102869180">
          <w:marLeft w:val="0"/>
          <w:marRight w:val="0"/>
          <w:marTop w:val="0"/>
          <w:marBottom w:val="0"/>
          <w:divBdr>
            <w:top w:val="none" w:sz="0" w:space="0" w:color="auto"/>
            <w:left w:val="none" w:sz="0" w:space="0" w:color="auto"/>
            <w:bottom w:val="none" w:sz="0" w:space="0" w:color="auto"/>
            <w:right w:val="none" w:sz="0" w:space="0" w:color="auto"/>
          </w:divBdr>
        </w:div>
        <w:div w:id="255291790">
          <w:marLeft w:val="0"/>
          <w:marRight w:val="0"/>
          <w:marTop w:val="0"/>
          <w:marBottom w:val="0"/>
          <w:divBdr>
            <w:top w:val="none" w:sz="0" w:space="0" w:color="auto"/>
            <w:left w:val="none" w:sz="0" w:space="0" w:color="auto"/>
            <w:bottom w:val="none" w:sz="0" w:space="0" w:color="auto"/>
            <w:right w:val="none" w:sz="0" w:space="0" w:color="auto"/>
          </w:divBdr>
        </w:div>
        <w:div w:id="1890724041">
          <w:marLeft w:val="0"/>
          <w:marRight w:val="0"/>
          <w:marTop w:val="0"/>
          <w:marBottom w:val="0"/>
          <w:divBdr>
            <w:top w:val="none" w:sz="0" w:space="0" w:color="auto"/>
            <w:left w:val="none" w:sz="0" w:space="0" w:color="auto"/>
            <w:bottom w:val="none" w:sz="0" w:space="0" w:color="auto"/>
            <w:right w:val="none" w:sz="0" w:space="0" w:color="auto"/>
          </w:divBdr>
        </w:div>
        <w:div w:id="729232087">
          <w:marLeft w:val="0"/>
          <w:marRight w:val="0"/>
          <w:marTop w:val="0"/>
          <w:marBottom w:val="0"/>
          <w:divBdr>
            <w:top w:val="none" w:sz="0" w:space="0" w:color="auto"/>
            <w:left w:val="none" w:sz="0" w:space="0" w:color="auto"/>
            <w:bottom w:val="none" w:sz="0" w:space="0" w:color="auto"/>
            <w:right w:val="none" w:sz="0" w:space="0" w:color="auto"/>
          </w:divBdr>
        </w:div>
        <w:div w:id="15347523">
          <w:marLeft w:val="0"/>
          <w:marRight w:val="0"/>
          <w:marTop w:val="0"/>
          <w:marBottom w:val="0"/>
          <w:divBdr>
            <w:top w:val="none" w:sz="0" w:space="0" w:color="auto"/>
            <w:left w:val="none" w:sz="0" w:space="0" w:color="auto"/>
            <w:bottom w:val="none" w:sz="0" w:space="0" w:color="auto"/>
            <w:right w:val="none" w:sz="0" w:space="0" w:color="auto"/>
          </w:divBdr>
        </w:div>
        <w:div w:id="663707961">
          <w:marLeft w:val="0"/>
          <w:marRight w:val="0"/>
          <w:marTop w:val="0"/>
          <w:marBottom w:val="0"/>
          <w:divBdr>
            <w:top w:val="none" w:sz="0" w:space="0" w:color="auto"/>
            <w:left w:val="none" w:sz="0" w:space="0" w:color="auto"/>
            <w:bottom w:val="none" w:sz="0" w:space="0" w:color="auto"/>
            <w:right w:val="none" w:sz="0" w:space="0" w:color="auto"/>
          </w:divBdr>
        </w:div>
        <w:div w:id="1777140397">
          <w:marLeft w:val="0"/>
          <w:marRight w:val="0"/>
          <w:marTop w:val="0"/>
          <w:marBottom w:val="0"/>
          <w:divBdr>
            <w:top w:val="none" w:sz="0" w:space="0" w:color="auto"/>
            <w:left w:val="none" w:sz="0" w:space="0" w:color="auto"/>
            <w:bottom w:val="none" w:sz="0" w:space="0" w:color="auto"/>
            <w:right w:val="none" w:sz="0" w:space="0" w:color="auto"/>
          </w:divBdr>
        </w:div>
        <w:div w:id="887378629">
          <w:marLeft w:val="0"/>
          <w:marRight w:val="0"/>
          <w:marTop w:val="0"/>
          <w:marBottom w:val="0"/>
          <w:divBdr>
            <w:top w:val="none" w:sz="0" w:space="0" w:color="auto"/>
            <w:left w:val="none" w:sz="0" w:space="0" w:color="auto"/>
            <w:bottom w:val="none" w:sz="0" w:space="0" w:color="auto"/>
            <w:right w:val="none" w:sz="0" w:space="0" w:color="auto"/>
          </w:divBdr>
        </w:div>
        <w:div w:id="2005930428">
          <w:marLeft w:val="0"/>
          <w:marRight w:val="0"/>
          <w:marTop w:val="0"/>
          <w:marBottom w:val="0"/>
          <w:divBdr>
            <w:top w:val="none" w:sz="0" w:space="0" w:color="auto"/>
            <w:left w:val="none" w:sz="0" w:space="0" w:color="auto"/>
            <w:bottom w:val="none" w:sz="0" w:space="0" w:color="auto"/>
            <w:right w:val="none" w:sz="0" w:space="0" w:color="auto"/>
          </w:divBdr>
        </w:div>
        <w:div w:id="1480921894">
          <w:marLeft w:val="0"/>
          <w:marRight w:val="0"/>
          <w:marTop w:val="0"/>
          <w:marBottom w:val="0"/>
          <w:divBdr>
            <w:top w:val="none" w:sz="0" w:space="0" w:color="auto"/>
            <w:left w:val="none" w:sz="0" w:space="0" w:color="auto"/>
            <w:bottom w:val="none" w:sz="0" w:space="0" w:color="auto"/>
            <w:right w:val="none" w:sz="0" w:space="0" w:color="auto"/>
          </w:divBdr>
        </w:div>
        <w:div w:id="368801056">
          <w:marLeft w:val="0"/>
          <w:marRight w:val="0"/>
          <w:marTop w:val="0"/>
          <w:marBottom w:val="0"/>
          <w:divBdr>
            <w:top w:val="none" w:sz="0" w:space="0" w:color="auto"/>
            <w:left w:val="none" w:sz="0" w:space="0" w:color="auto"/>
            <w:bottom w:val="none" w:sz="0" w:space="0" w:color="auto"/>
            <w:right w:val="none" w:sz="0" w:space="0" w:color="auto"/>
          </w:divBdr>
        </w:div>
        <w:div w:id="2074115350">
          <w:marLeft w:val="0"/>
          <w:marRight w:val="0"/>
          <w:marTop w:val="0"/>
          <w:marBottom w:val="0"/>
          <w:divBdr>
            <w:top w:val="none" w:sz="0" w:space="0" w:color="auto"/>
            <w:left w:val="none" w:sz="0" w:space="0" w:color="auto"/>
            <w:bottom w:val="none" w:sz="0" w:space="0" w:color="auto"/>
            <w:right w:val="none" w:sz="0" w:space="0" w:color="auto"/>
          </w:divBdr>
        </w:div>
        <w:div w:id="1918586916">
          <w:marLeft w:val="0"/>
          <w:marRight w:val="0"/>
          <w:marTop w:val="0"/>
          <w:marBottom w:val="0"/>
          <w:divBdr>
            <w:top w:val="none" w:sz="0" w:space="0" w:color="auto"/>
            <w:left w:val="none" w:sz="0" w:space="0" w:color="auto"/>
            <w:bottom w:val="none" w:sz="0" w:space="0" w:color="auto"/>
            <w:right w:val="none" w:sz="0" w:space="0" w:color="auto"/>
          </w:divBdr>
        </w:div>
        <w:div w:id="379549985">
          <w:marLeft w:val="0"/>
          <w:marRight w:val="0"/>
          <w:marTop w:val="0"/>
          <w:marBottom w:val="0"/>
          <w:divBdr>
            <w:top w:val="none" w:sz="0" w:space="0" w:color="auto"/>
            <w:left w:val="none" w:sz="0" w:space="0" w:color="auto"/>
            <w:bottom w:val="none" w:sz="0" w:space="0" w:color="auto"/>
            <w:right w:val="none" w:sz="0" w:space="0" w:color="auto"/>
          </w:divBdr>
        </w:div>
        <w:div w:id="4945200">
          <w:marLeft w:val="0"/>
          <w:marRight w:val="0"/>
          <w:marTop w:val="0"/>
          <w:marBottom w:val="0"/>
          <w:divBdr>
            <w:top w:val="none" w:sz="0" w:space="0" w:color="auto"/>
            <w:left w:val="none" w:sz="0" w:space="0" w:color="auto"/>
            <w:bottom w:val="none" w:sz="0" w:space="0" w:color="auto"/>
            <w:right w:val="none" w:sz="0" w:space="0" w:color="auto"/>
          </w:divBdr>
        </w:div>
        <w:div w:id="1353603925">
          <w:marLeft w:val="0"/>
          <w:marRight w:val="0"/>
          <w:marTop w:val="0"/>
          <w:marBottom w:val="0"/>
          <w:divBdr>
            <w:top w:val="none" w:sz="0" w:space="0" w:color="auto"/>
            <w:left w:val="none" w:sz="0" w:space="0" w:color="auto"/>
            <w:bottom w:val="none" w:sz="0" w:space="0" w:color="auto"/>
            <w:right w:val="none" w:sz="0" w:space="0" w:color="auto"/>
          </w:divBdr>
        </w:div>
        <w:div w:id="2111656264">
          <w:marLeft w:val="0"/>
          <w:marRight w:val="0"/>
          <w:marTop w:val="0"/>
          <w:marBottom w:val="0"/>
          <w:divBdr>
            <w:top w:val="none" w:sz="0" w:space="0" w:color="auto"/>
            <w:left w:val="none" w:sz="0" w:space="0" w:color="auto"/>
            <w:bottom w:val="none" w:sz="0" w:space="0" w:color="auto"/>
            <w:right w:val="none" w:sz="0" w:space="0" w:color="auto"/>
          </w:divBdr>
        </w:div>
        <w:div w:id="1576861862">
          <w:marLeft w:val="0"/>
          <w:marRight w:val="0"/>
          <w:marTop w:val="0"/>
          <w:marBottom w:val="0"/>
          <w:divBdr>
            <w:top w:val="none" w:sz="0" w:space="0" w:color="auto"/>
            <w:left w:val="none" w:sz="0" w:space="0" w:color="auto"/>
            <w:bottom w:val="none" w:sz="0" w:space="0" w:color="auto"/>
            <w:right w:val="none" w:sz="0" w:space="0" w:color="auto"/>
          </w:divBdr>
        </w:div>
        <w:div w:id="1735200812">
          <w:marLeft w:val="0"/>
          <w:marRight w:val="0"/>
          <w:marTop w:val="0"/>
          <w:marBottom w:val="0"/>
          <w:divBdr>
            <w:top w:val="none" w:sz="0" w:space="0" w:color="auto"/>
            <w:left w:val="none" w:sz="0" w:space="0" w:color="auto"/>
            <w:bottom w:val="none" w:sz="0" w:space="0" w:color="auto"/>
            <w:right w:val="none" w:sz="0" w:space="0" w:color="auto"/>
          </w:divBdr>
        </w:div>
        <w:div w:id="2055423388">
          <w:marLeft w:val="0"/>
          <w:marRight w:val="0"/>
          <w:marTop w:val="0"/>
          <w:marBottom w:val="0"/>
          <w:divBdr>
            <w:top w:val="none" w:sz="0" w:space="0" w:color="auto"/>
            <w:left w:val="none" w:sz="0" w:space="0" w:color="auto"/>
            <w:bottom w:val="none" w:sz="0" w:space="0" w:color="auto"/>
            <w:right w:val="none" w:sz="0" w:space="0" w:color="auto"/>
          </w:divBdr>
        </w:div>
        <w:div w:id="462162660">
          <w:marLeft w:val="0"/>
          <w:marRight w:val="0"/>
          <w:marTop w:val="0"/>
          <w:marBottom w:val="0"/>
          <w:divBdr>
            <w:top w:val="none" w:sz="0" w:space="0" w:color="auto"/>
            <w:left w:val="none" w:sz="0" w:space="0" w:color="auto"/>
            <w:bottom w:val="none" w:sz="0" w:space="0" w:color="auto"/>
            <w:right w:val="none" w:sz="0" w:space="0" w:color="auto"/>
          </w:divBdr>
        </w:div>
        <w:div w:id="1422215882">
          <w:marLeft w:val="0"/>
          <w:marRight w:val="0"/>
          <w:marTop w:val="0"/>
          <w:marBottom w:val="0"/>
          <w:divBdr>
            <w:top w:val="none" w:sz="0" w:space="0" w:color="auto"/>
            <w:left w:val="none" w:sz="0" w:space="0" w:color="auto"/>
            <w:bottom w:val="none" w:sz="0" w:space="0" w:color="auto"/>
            <w:right w:val="none" w:sz="0" w:space="0" w:color="auto"/>
          </w:divBdr>
        </w:div>
        <w:div w:id="1091706689">
          <w:marLeft w:val="0"/>
          <w:marRight w:val="0"/>
          <w:marTop w:val="0"/>
          <w:marBottom w:val="0"/>
          <w:divBdr>
            <w:top w:val="none" w:sz="0" w:space="0" w:color="auto"/>
            <w:left w:val="none" w:sz="0" w:space="0" w:color="auto"/>
            <w:bottom w:val="none" w:sz="0" w:space="0" w:color="auto"/>
            <w:right w:val="none" w:sz="0" w:space="0" w:color="auto"/>
          </w:divBdr>
        </w:div>
        <w:div w:id="377749922">
          <w:marLeft w:val="0"/>
          <w:marRight w:val="0"/>
          <w:marTop w:val="0"/>
          <w:marBottom w:val="0"/>
          <w:divBdr>
            <w:top w:val="none" w:sz="0" w:space="0" w:color="auto"/>
            <w:left w:val="none" w:sz="0" w:space="0" w:color="auto"/>
            <w:bottom w:val="none" w:sz="0" w:space="0" w:color="auto"/>
            <w:right w:val="none" w:sz="0" w:space="0" w:color="auto"/>
          </w:divBdr>
        </w:div>
        <w:div w:id="1059594871">
          <w:marLeft w:val="0"/>
          <w:marRight w:val="0"/>
          <w:marTop w:val="0"/>
          <w:marBottom w:val="0"/>
          <w:divBdr>
            <w:top w:val="none" w:sz="0" w:space="0" w:color="auto"/>
            <w:left w:val="none" w:sz="0" w:space="0" w:color="auto"/>
            <w:bottom w:val="none" w:sz="0" w:space="0" w:color="auto"/>
            <w:right w:val="none" w:sz="0" w:space="0" w:color="auto"/>
          </w:divBdr>
        </w:div>
        <w:div w:id="904341965">
          <w:marLeft w:val="0"/>
          <w:marRight w:val="0"/>
          <w:marTop w:val="0"/>
          <w:marBottom w:val="0"/>
          <w:divBdr>
            <w:top w:val="none" w:sz="0" w:space="0" w:color="auto"/>
            <w:left w:val="none" w:sz="0" w:space="0" w:color="auto"/>
            <w:bottom w:val="none" w:sz="0" w:space="0" w:color="auto"/>
            <w:right w:val="none" w:sz="0" w:space="0" w:color="auto"/>
          </w:divBdr>
        </w:div>
        <w:div w:id="532227896">
          <w:marLeft w:val="0"/>
          <w:marRight w:val="0"/>
          <w:marTop w:val="0"/>
          <w:marBottom w:val="0"/>
          <w:divBdr>
            <w:top w:val="none" w:sz="0" w:space="0" w:color="auto"/>
            <w:left w:val="none" w:sz="0" w:space="0" w:color="auto"/>
            <w:bottom w:val="none" w:sz="0" w:space="0" w:color="auto"/>
            <w:right w:val="none" w:sz="0" w:space="0" w:color="auto"/>
          </w:divBdr>
        </w:div>
        <w:div w:id="302004710">
          <w:marLeft w:val="0"/>
          <w:marRight w:val="0"/>
          <w:marTop w:val="0"/>
          <w:marBottom w:val="0"/>
          <w:divBdr>
            <w:top w:val="none" w:sz="0" w:space="0" w:color="auto"/>
            <w:left w:val="none" w:sz="0" w:space="0" w:color="auto"/>
            <w:bottom w:val="none" w:sz="0" w:space="0" w:color="auto"/>
            <w:right w:val="none" w:sz="0" w:space="0" w:color="auto"/>
          </w:divBdr>
        </w:div>
        <w:div w:id="1452672379">
          <w:marLeft w:val="0"/>
          <w:marRight w:val="0"/>
          <w:marTop w:val="0"/>
          <w:marBottom w:val="0"/>
          <w:divBdr>
            <w:top w:val="none" w:sz="0" w:space="0" w:color="auto"/>
            <w:left w:val="none" w:sz="0" w:space="0" w:color="auto"/>
            <w:bottom w:val="none" w:sz="0" w:space="0" w:color="auto"/>
            <w:right w:val="none" w:sz="0" w:space="0" w:color="auto"/>
          </w:divBdr>
        </w:div>
        <w:div w:id="1392928013">
          <w:marLeft w:val="0"/>
          <w:marRight w:val="0"/>
          <w:marTop w:val="0"/>
          <w:marBottom w:val="0"/>
          <w:divBdr>
            <w:top w:val="none" w:sz="0" w:space="0" w:color="auto"/>
            <w:left w:val="none" w:sz="0" w:space="0" w:color="auto"/>
            <w:bottom w:val="none" w:sz="0" w:space="0" w:color="auto"/>
            <w:right w:val="none" w:sz="0" w:space="0" w:color="auto"/>
          </w:divBdr>
        </w:div>
        <w:div w:id="1288850301">
          <w:marLeft w:val="0"/>
          <w:marRight w:val="0"/>
          <w:marTop w:val="0"/>
          <w:marBottom w:val="0"/>
          <w:divBdr>
            <w:top w:val="none" w:sz="0" w:space="0" w:color="auto"/>
            <w:left w:val="none" w:sz="0" w:space="0" w:color="auto"/>
            <w:bottom w:val="none" w:sz="0" w:space="0" w:color="auto"/>
            <w:right w:val="none" w:sz="0" w:space="0" w:color="auto"/>
          </w:divBdr>
        </w:div>
        <w:div w:id="226381988">
          <w:marLeft w:val="0"/>
          <w:marRight w:val="0"/>
          <w:marTop w:val="0"/>
          <w:marBottom w:val="0"/>
          <w:divBdr>
            <w:top w:val="none" w:sz="0" w:space="0" w:color="auto"/>
            <w:left w:val="none" w:sz="0" w:space="0" w:color="auto"/>
            <w:bottom w:val="none" w:sz="0" w:space="0" w:color="auto"/>
            <w:right w:val="none" w:sz="0" w:space="0" w:color="auto"/>
          </w:divBdr>
        </w:div>
        <w:div w:id="1251353188">
          <w:marLeft w:val="0"/>
          <w:marRight w:val="0"/>
          <w:marTop w:val="0"/>
          <w:marBottom w:val="0"/>
          <w:divBdr>
            <w:top w:val="none" w:sz="0" w:space="0" w:color="auto"/>
            <w:left w:val="none" w:sz="0" w:space="0" w:color="auto"/>
            <w:bottom w:val="none" w:sz="0" w:space="0" w:color="auto"/>
            <w:right w:val="none" w:sz="0" w:space="0" w:color="auto"/>
          </w:divBdr>
        </w:div>
        <w:div w:id="1926844673">
          <w:marLeft w:val="0"/>
          <w:marRight w:val="0"/>
          <w:marTop w:val="0"/>
          <w:marBottom w:val="0"/>
          <w:divBdr>
            <w:top w:val="none" w:sz="0" w:space="0" w:color="auto"/>
            <w:left w:val="none" w:sz="0" w:space="0" w:color="auto"/>
            <w:bottom w:val="none" w:sz="0" w:space="0" w:color="auto"/>
            <w:right w:val="none" w:sz="0" w:space="0" w:color="auto"/>
          </w:divBdr>
        </w:div>
        <w:div w:id="658853017">
          <w:marLeft w:val="0"/>
          <w:marRight w:val="0"/>
          <w:marTop w:val="0"/>
          <w:marBottom w:val="0"/>
          <w:divBdr>
            <w:top w:val="none" w:sz="0" w:space="0" w:color="auto"/>
            <w:left w:val="none" w:sz="0" w:space="0" w:color="auto"/>
            <w:bottom w:val="none" w:sz="0" w:space="0" w:color="auto"/>
            <w:right w:val="none" w:sz="0" w:space="0" w:color="auto"/>
          </w:divBdr>
        </w:div>
        <w:div w:id="821853433">
          <w:marLeft w:val="0"/>
          <w:marRight w:val="0"/>
          <w:marTop w:val="0"/>
          <w:marBottom w:val="0"/>
          <w:divBdr>
            <w:top w:val="none" w:sz="0" w:space="0" w:color="auto"/>
            <w:left w:val="none" w:sz="0" w:space="0" w:color="auto"/>
            <w:bottom w:val="none" w:sz="0" w:space="0" w:color="auto"/>
            <w:right w:val="none" w:sz="0" w:space="0" w:color="auto"/>
          </w:divBdr>
        </w:div>
      </w:divsChild>
    </w:div>
    <w:div w:id="399256054">
      <w:bodyDiv w:val="1"/>
      <w:marLeft w:val="0"/>
      <w:marRight w:val="0"/>
      <w:marTop w:val="0"/>
      <w:marBottom w:val="0"/>
      <w:divBdr>
        <w:top w:val="none" w:sz="0" w:space="0" w:color="auto"/>
        <w:left w:val="none" w:sz="0" w:space="0" w:color="auto"/>
        <w:bottom w:val="none" w:sz="0" w:space="0" w:color="auto"/>
        <w:right w:val="none" w:sz="0" w:space="0" w:color="auto"/>
      </w:divBdr>
    </w:div>
    <w:div w:id="431777723">
      <w:bodyDiv w:val="1"/>
      <w:marLeft w:val="0"/>
      <w:marRight w:val="0"/>
      <w:marTop w:val="0"/>
      <w:marBottom w:val="0"/>
      <w:divBdr>
        <w:top w:val="none" w:sz="0" w:space="0" w:color="auto"/>
        <w:left w:val="none" w:sz="0" w:space="0" w:color="auto"/>
        <w:bottom w:val="none" w:sz="0" w:space="0" w:color="auto"/>
        <w:right w:val="none" w:sz="0" w:space="0" w:color="auto"/>
      </w:divBdr>
      <w:divsChild>
        <w:div w:id="2099522450">
          <w:marLeft w:val="0"/>
          <w:marRight w:val="0"/>
          <w:marTop w:val="0"/>
          <w:marBottom w:val="0"/>
          <w:divBdr>
            <w:top w:val="none" w:sz="0" w:space="0" w:color="auto"/>
            <w:left w:val="none" w:sz="0" w:space="0" w:color="auto"/>
            <w:bottom w:val="none" w:sz="0" w:space="0" w:color="auto"/>
            <w:right w:val="none" w:sz="0" w:space="0" w:color="auto"/>
          </w:divBdr>
        </w:div>
        <w:div w:id="128057701">
          <w:marLeft w:val="0"/>
          <w:marRight w:val="0"/>
          <w:marTop w:val="0"/>
          <w:marBottom w:val="0"/>
          <w:divBdr>
            <w:top w:val="none" w:sz="0" w:space="0" w:color="auto"/>
            <w:left w:val="none" w:sz="0" w:space="0" w:color="auto"/>
            <w:bottom w:val="none" w:sz="0" w:space="0" w:color="auto"/>
            <w:right w:val="none" w:sz="0" w:space="0" w:color="auto"/>
          </w:divBdr>
        </w:div>
        <w:div w:id="367266001">
          <w:marLeft w:val="0"/>
          <w:marRight w:val="0"/>
          <w:marTop w:val="0"/>
          <w:marBottom w:val="0"/>
          <w:divBdr>
            <w:top w:val="none" w:sz="0" w:space="0" w:color="auto"/>
            <w:left w:val="none" w:sz="0" w:space="0" w:color="auto"/>
            <w:bottom w:val="none" w:sz="0" w:space="0" w:color="auto"/>
            <w:right w:val="none" w:sz="0" w:space="0" w:color="auto"/>
          </w:divBdr>
        </w:div>
        <w:div w:id="1118110999">
          <w:marLeft w:val="0"/>
          <w:marRight w:val="0"/>
          <w:marTop w:val="0"/>
          <w:marBottom w:val="0"/>
          <w:divBdr>
            <w:top w:val="none" w:sz="0" w:space="0" w:color="auto"/>
            <w:left w:val="none" w:sz="0" w:space="0" w:color="auto"/>
            <w:bottom w:val="none" w:sz="0" w:space="0" w:color="auto"/>
            <w:right w:val="none" w:sz="0" w:space="0" w:color="auto"/>
          </w:divBdr>
        </w:div>
        <w:div w:id="996614747">
          <w:marLeft w:val="0"/>
          <w:marRight w:val="0"/>
          <w:marTop w:val="0"/>
          <w:marBottom w:val="0"/>
          <w:divBdr>
            <w:top w:val="none" w:sz="0" w:space="0" w:color="auto"/>
            <w:left w:val="none" w:sz="0" w:space="0" w:color="auto"/>
            <w:bottom w:val="none" w:sz="0" w:space="0" w:color="auto"/>
            <w:right w:val="none" w:sz="0" w:space="0" w:color="auto"/>
          </w:divBdr>
        </w:div>
      </w:divsChild>
    </w:div>
    <w:div w:id="436217186">
      <w:bodyDiv w:val="1"/>
      <w:marLeft w:val="0"/>
      <w:marRight w:val="0"/>
      <w:marTop w:val="0"/>
      <w:marBottom w:val="0"/>
      <w:divBdr>
        <w:top w:val="none" w:sz="0" w:space="0" w:color="auto"/>
        <w:left w:val="none" w:sz="0" w:space="0" w:color="auto"/>
        <w:bottom w:val="none" w:sz="0" w:space="0" w:color="auto"/>
        <w:right w:val="none" w:sz="0" w:space="0" w:color="auto"/>
      </w:divBdr>
    </w:div>
    <w:div w:id="459349395">
      <w:bodyDiv w:val="1"/>
      <w:marLeft w:val="0"/>
      <w:marRight w:val="0"/>
      <w:marTop w:val="0"/>
      <w:marBottom w:val="0"/>
      <w:divBdr>
        <w:top w:val="none" w:sz="0" w:space="0" w:color="auto"/>
        <w:left w:val="none" w:sz="0" w:space="0" w:color="auto"/>
        <w:bottom w:val="none" w:sz="0" w:space="0" w:color="auto"/>
        <w:right w:val="none" w:sz="0" w:space="0" w:color="auto"/>
      </w:divBdr>
    </w:div>
    <w:div w:id="537157346">
      <w:bodyDiv w:val="1"/>
      <w:marLeft w:val="0"/>
      <w:marRight w:val="0"/>
      <w:marTop w:val="0"/>
      <w:marBottom w:val="0"/>
      <w:divBdr>
        <w:top w:val="none" w:sz="0" w:space="0" w:color="auto"/>
        <w:left w:val="none" w:sz="0" w:space="0" w:color="auto"/>
        <w:bottom w:val="none" w:sz="0" w:space="0" w:color="auto"/>
        <w:right w:val="none" w:sz="0" w:space="0" w:color="auto"/>
      </w:divBdr>
      <w:divsChild>
        <w:div w:id="1287197891">
          <w:marLeft w:val="0"/>
          <w:marRight w:val="0"/>
          <w:marTop w:val="0"/>
          <w:marBottom w:val="0"/>
          <w:divBdr>
            <w:top w:val="none" w:sz="0" w:space="0" w:color="auto"/>
            <w:left w:val="none" w:sz="0" w:space="0" w:color="auto"/>
            <w:bottom w:val="none" w:sz="0" w:space="0" w:color="auto"/>
            <w:right w:val="none" w:sz="0" w:space="0" w:color="auto"/>
          </w:divBdr>
        </w:div>
        <w:div w:id="447362133">
          <w:marLeft w:val="0"/>
          <w:marRight w:val="0"/>
          <w:marTop w:val="0"/>
          <w:marBottom w:val="0"/>
          <w:divBdr>
            <w:top w:val="none" w:sz="0" w:space="0" w:color="auto"/>
            <w:left w:val="none" w:sz="0" w:space="0" w:color="auto"/>
            <w:bottom w:val="none" w:sz="0" w:space="0" w:color="auto"/>
            <w:right w:val="none" w:sz="0" w:space="0" w:color="auto"/>
          </w:divBdr>
        </w:div>
        <w:div w:id="1235820143">
          <w:marLeft w:val="0"/>
          <w:marRight w:val="0"/>
          <w:marTop w:val="0"/>
          <w:marBottom w:val="0"/>
          <w:divBdr>
            <w:top w:val="none" w:sz="0" w:space="0" w:color="auto"/>
            <w:left w:val="none" w:sz="0" w:space="0" w:color="auto"/>
            <w:bottom w:val="none" w:sz="0" w:space="0" w:color="auto"/>
            <w:right w:val="none" w:sz="0" w:space="0" w:color="auto"/>
          </w:divBdr>
        </w:div>
        <w:div w:id="468135465">
          <w:marLeft w:val="0"/>
          <w:marRight w:val="0"/>
          <w:marTop w:val="0"/>
          <w:marBottom w:val="0"/>
          <w:divBdr>
            <w:top w:val="none" w:sz="0" w:space="0" w:color="auto"/>
            <w:left w:val="none" w:sz="0" w:space="0" w:color="auto"/>
            <w:bottom w:val="none" w:sz="0" w:space="0" w:color="auto"/>
            <w:right w:val="none" w:sz="0" w:space="0" w:color="auto"/>
          </w:divBdr>
        </w:div>
        <w:div w:id="1640064099">
          <w:marLeft w:val="0"/>
          <w:marRight w:val="0"/>
          <w:marTop w:val="0"/>
          <w:marBottom w:val="0"/>
          <w:divBdr>
            <w:top w:val="none" w:sz="0" w:space="0" w:color="auto"/>
            <w:left w:val="none" w:sz="0" w:space="0" w:color="auto"/>
            <w:bottom w:val="none" w:sz="0" w:space="0" w:color="auto"/>
            <w:right w:val="none" w:sz="0" w:space="0" w:color="auto"/>
          </w:divBdr>
        </w:div>
        <w:div w:id="1372075901">
          <w:marLeft w:val="0"/>
          <w:marRight w:val="0"/>
          <w:marTop w:val="0"/>
          <w:marBottom w:val="0"/>
          <w:divBdr>
            <w:top w:val="none" w:sz="0" w:space="0" w:color="auto"/>
            <w:left w:val="none" w:sz="0" w:space="0" w:color="auto"/>
            <w:bottom w:val="none" w:sz="0" w:space="0" w:color="auto"/>
            <w:right w:val="none" w:sz="0" w:space="0" w:color="auto"/>
          </w:divBdr>
        </w:div>
        <w:div w:id="1267233028">
          <w:marLeft w:val="0"/>
          <w:marRight w:val="0"/>
          <w:marTop w:val="0"/>
          <w:marBottom w:val="0"/>
          <w:divBdr>
            <w:top w:val="none" w:sz="0" w:space="0" w:color="auto"/>
            <w:left w:val="none" w:sz="0" w:space="0" w:color="auto"/>
            <w:bottom w:val="none" w:sz="0" w:space="0" w:color="auto"/>
            <w:right w:val="none" w:sz="0" w:space="0" w:color="auto"/>
          </w:divBdr>
        </w:div>
        <w:div w:id="1268922940">
          <w:marLeft w:val="0"/>
          <w:marRight w:val="0"/>
          <w:marTop w:val="0"/>
          <w:marBottom w:val="0"/>
          <w:divBdr>
            <w:top w:val="none" w:sz="0" w:space="0" w:color="auto"/>
            <w:left w:val="none" w:sz="0" w:space="0" w:color="auto"/>
            <w:bottom w:val="none" w:sz="0" w:space="0" w:color="auto"/>
            <w:right w:val="none" w:sz="0" w:space="0" w:color="auto"/>
          </w:divBdr>
        </w:div>
      </w:divsChild>
    </w:div>
    <w:div w:id="574097419">
      <w:bodyDiv w:val="1"/>
      <w:marLeft w:val="0"/>
      <w:marRight w:val="0"/>
      <w:marTop w:val="0"/>
      <w:marBottom w:val="0"/>
      <w:divBdr>
        <w:top w:val="none" w:sz="0" w:space="0" w:color="auto"/>
        <w:left w:val="none" w:sz="0" w:space="0" w:color="auto"/>
        <w:bottom w:val="none" w:sz="0" w:space="0" w:color="auto"/>
        <w:right w:val="none" w:sz="0" w:space="0" w:color="auto"/>
      </w:divBdr>
    </w:div>
    <w:div w:id="613825523">
      <w:bodyDiv w:val="1"/>
      <w:marLeft w:val="0"/>
      <w:marRight w:val="0"/>
      <w:marTop w:val="0"/>
      <w:marBottom w:val="0"/>
      <w:divBdr>
        <w:top w:val="none" w:sz="0" w:space="0" w:color="auto"/>
        <w:left w:val="none" w:sz="0" w:space="0" w:color="auto"/>
        <w:bottom w:val="none" w:sz="0" w:space="0" w:color="auto"/>
        <w:right w:val="none" w:sz="0" w:space="0" w:color="auto"/>
      </w:divBdr>
    </w:div>
    <w:div w:id="626399585">
      <w:bodyDiv w:val="1"/>
      <w:marLeft w:val="0"/>
      <w:marRight w:val="0"/>
      <w:marTop w:val="0"/>
      <w:marBottom w:val="0"/>
      <w:divBdr>
        <w:top w:val="none" w:sz="0" w:space="0" w:color="auto"/>
        <w:left w:val="none" w:sz="0" w:space="0" w:color="auto"/>
        <w:bottom w:val="none" w:sz="0" w:space="0" w:color="auto"/>
        <w:right w:val="none" w:sz="0" w:space="0" w:color="auto"/>
      </w:divBdr>
      <w:divsChild>
        <w:div w:id="731579016">
          <w:marLeft w:val="0"/>
          <w:marRight w:val="0"/>
          <w:marTop w:val="0"/>
          <w:marBottom w:val="0"/>
          <w:divBdr>
            <w:top w:val="none" w:sz="0" w:space="0" w:color="auto"/>
            <w:left w:val="none" w:sz="0" w:space="0" w:color="auto"/>
            <w:bottom w:val="none" w:sz="0" w:space="0" w:color="auto"/>
            <w:right w:val="none" w:sz="0" w:space="0" w:color="auto"/>
          </w:divBdr>
        </w:div>
      </w:divsChild>
    </w:div>
    <w:div w:id="935139720">
      <w:bodyDiv w:val="1"/>
      <w:marLeft w:val="0"/>
      <w:marRight w:val="0"/>
      <w:marTop w:val="0"/>
      <w:marBottom w:val="0"/>
      <w:divBdr>
        <w:top w:val="none" w:sz="0" w:space="0" w:color="auto"/>
        <w:left w:val="none" w:sz="0" w:space="0" w:color="auto"/>
        <w:bottom w:val="none" w:sz="0" w:space="0" w:color="auto"/>
        <w:right w:val="none" w:sz="0" w:space="0" w:color="auto"/>
      </w:divBdr>
    </w:div>
    <w:div w:id="1063065739">
      <w:bodyDiv w:val="1"/>
      <w:marLeft w:val="0"/>
      <w:marRight w:val="0"/>
      <w:marTop w:val="0"/>
      <w:marBottom w:val="0"/>
      <w:divBdr>
        <w:top w:val="none" w:sz="0" w:space="0" w:color="auto"/>
        <w:left w:val="none" w:sz="0" w:space="0" w:color="auto"/>
        <w:bottom w:val="none" w:sz="0" w:space="0" w:color="auto"/>
        <w:right w:val="none" w:sz="0" w:space="0" w:color="auto"/>
      </w:divBdr>
      <w:divsChild>
        <w:div w:id="366102851">
          <w:marLeft w:val="0"/>
          <w:marRight w:val="0"/>
          <w:marTop w:val="0"/>
          <w:marBottom w:val="0"/>
          <w:divBdr>
            <w:top w:val="none" w:sz="0" w:space="0" w:color="auto"/>
            <w:left w:val="none" w:sz="0" w:space="0" w:color="auto"/>
            <w:bottom w:val="none" w:sz="0" w:space="0" w:color="auto"/>
            <w:right w:val="none" w:sz="0" w:space="0" w:color="auto"/>
          </w:divBdr>
        </w:div>
      </w:divsChild>
    </w:div>
    <w:div w:id="1065101883">
      <w:bodyDiv w:val="1"/>
      <w:marLeft w:val="0"/>
      <w:marRight w:val="0"/>
      <w:marTop w:val="0"/>
      <w:marBottom w:val="0"/>
      <w:divBdr>
        <w:top w:val="none" w:sz="0" w:space="0" w:color="auto"/>
        <w:left w:val="none" w:sz="0" w:space="0" w:color="auto"/>
        <w:bottom w:val="none" w:sz="0" w:space="0" w:color="auto"/>
        <w:right w:val="none" w:sz="0" w:space="0" w:color="auto"/>
      </w:divBdr>
      <w:divsChild>
        <w:div w:id="1159998783">
          <w:marLeft w:val="0"/>
          <w:marRight w:val="0"/>
          <w:marTop w:val="0"/>
          <w:marBottom w:val="0"/>
          <w:divBdr>
            <w:top w:val="none" w:sz="0" w:space="0" w:color="auto"/>
            <w:left w:val="none" w:sz="0" w:space="0" w:color="auto"/>
            <w:bottom w:val="none" w:sz="0" w:space="0" w:color="auto"/>
            <w:right w:val="none" w:sz="0" w:space="0" w:color="auto"/>
          </w:divBdr>
        </w:div>
        <w:div w:id="1778982496">
          <w:marLeft w:val="0"/>
          <w:marRight w:val="0"/>
          <w:marTop w:val="0"/>
          <w:marBottom w:val="0"/>
          <w:divBdr>
            <w:top w:val="none" w:sz="0" w:space="0" w:color="auto"/>
            <w:left w:val="none" w:sz="0" w:space="0" w:color="auto"/>
            <w:bottom w:val="none" w:sz="0" w:space="0" w:color="auto"/>
            <w:right w:val="none" w:sz="0" w:space="0" w:color="auto"/>
          </w:divBdr>
        </w:div>
        <w:div w:id="1603612335">
          <w:marLeft w:val="0"/>
          <w:marRight w:val="0"/>
          <w:marTop w:val="0"/>
          <w:marBottom w:val="0"/>
          <w:divBdr>
            <w:top w:val="none" w:sz="0" w:space="0" w:color="auto"/>
            <w:left w:val="none" w:sz="0" w:space="0" w:color="auto"/>
            <w:bottom w:val="none" w:sz="0" w:space="0" w:color="auto"/>
            <w:right w:val="none" w:sz="0" w:space="0" w:color="auto"/>
          </w:divBdr>
        </w:div>
        <w:div w:id="1970164108">
          <w:marLeft w:val="0"/>
          <w:marRight w:val="0"/>
          <w:marTop w:val="0"/>
          <w:marBottom w:val="0"/>
          <w:divBdr>
            <w:top w:val="none" w:sz="0" w:space="0" w:color="auto"/>
            <w:left w:val="none" w:sz="0" w:space="0" w:color="auto"/>
            <w:bottom w:val="none" w:sz="0" w:space="0" w:color="auto"/>
            <w:right w:val="none" w:sz="0" w:space="0" w:color="auto"/>
          </w:divBdr>
        </w:div>
        <w:div w:id="225725544">
          <w:marLeft w:val="0"/>
          <w:marRight w:val="0"/>
          <w:marTop w:val="0"/>
          <w:marBottom w:val="0"/>
          <w:divBdr>
            <w:top w:val="none" w:sz="0" w:space="0" w:color="auto"/>
            <w:left w:val="none" w:sz="0" w:space="0" w:color="auto"/>
            <w:bottom w:val="none" w:sz="0" w:space="0" w:color="auto"/>
            <w:right w:val="none" w:sz="0" w:space="0" w:color="auto"/>
          </w:divBdr>
        </w:div>
      </w:divsChild>
    </w:div>
    <w:div w:id="1110314983">
      <w:bodyDiv w:val="1"/>
      <w:marLeft w:val="0"/>
      <w:marRight w:val="0"/>
      <w:marTop w:val="0"/>
      <w:marBottom w:val="0"/>
      <w:divBdr>
        <w:top w:val="none" w:sz="0" w:space="0" w:color="auto"/>
        <w:left w:val="none" w:sz="0" w:space="0" w:color="auto"/>
        <w:bottom w:val="none" w:sz="0" w:space="0" w:color="auto"/>
        <w:right w:val="none" w:sz="0" w:space="0" w:color="auto"/>
      </w:divBdr>
      <w:divsChild>
        <w:div w:id="1400324239">
          <w:marLeft w:val="0"/>
          <w:marRight w:val="0"/>
          <w:marTop w:val="0"/>
          <w:marBottom w:val="0"/>
          <w:divBdr>
            <w:top w:val="none" w:sz="0" w:space="0" w:color="auto"/>
            <w:left w:val="none" w:sz="0" w:space="0" w:color="auto"/>
            <w:bottom w:val="none" w:sz="0" w:space="0" w:color="auto"/>
            <w:right w:val="none" w:sz="0" w:space="0" w:color="auto"/>
          </w:divBdr>
          <w:divsChild>
            <w:div w:id="98015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78945">
      <w:bodyDiv w:val="1"/>
      <w:marLeft w:val="0"/>
      <w:marRight w:val="0"/>
      <w:marTop w:val="0"/>
      <w:marBottom w:val="0"/>
      <w:divBdr>
        <w:top w:val="none" w:sz="0" w:space="0" w:color="auto"/>
        <w:left w:val="none" w:sz="0" w:space="0" w:color="auto"/>
        <w:bottom w:val="none" w:sz="0" w:space="0" w:color="auto"/>
        <w:right w:val="none" w:sz="0" w:space="0" w:color="auto"/>
      </w:divBdr>
      <w:divsChild>
        <w:div w:id="263072082">
          <w:marLeft w:val="0"/>
          <w:marRight w:val="0"/>
          <w:marTop w:val="0"/>
          <w:marBottom w:val="0"/>
          <w:divBdr>
            <w:top w:val="none" w:sz="0" w:space="0" w:color="auto"/>
            <w:left w:val="none" w:sz="0" w:space="0" w:color="auto"/>
            <w:bottom w:val="none" w:sz="0" w:space="0" w:color="auto"/>
            <w:right w:val="none" w:sz="0" w:space="0" w:color="auto"/>
          </w:divBdr>
        </w:div>
        <w:div w:id="1244995068">
          <w:marLeft w:val="0"/>
          <w:marRight w:val="0"/>
          <w:marTop w:val="0"/>
          <w:marBottom w:val="0"/>
          <w:divBdr>
            <w:top w:val="none" w:sz="0" w:space="0" w:color="auto"/>
            <w:left w:val="none" w:sz="0" w:space="0" w:color="auto"/>
            <w:bottom w:val="none" w:sz="0" w:space="0" w:color="auto"/>
            <w:right w:val="none" w:sz="0" w:space="0" w:color="auto"/>
          </w:divBdr>
        </w:div>
        <w:div w:id="1560484080">
          <w:marLeft w:val="0"/>
          <w:marRight w:val="0"/>
          <w:marTop w:val="0"/>
          <w:marBottom w:val="0"/>
          <w:divBdr>
            <w:top w:val="none" w:sz="0" w:space="0" w:color="auto"/>
            <w:left w:val="none" w:sz="0" w:space="0" w:color="auto"/>
            <w:bottom w:val="none" w:sz="0" w:space="0" w:color="auto"/>
            <w:right w:val="none" w:sz="0" w:space="0" w:color="auto"/>
          </w:divBdr>
        </w:div>
        <w:div w:id="827135555">
          <w:marLeft w:val="0"/>
          <w:marRight w:val="0"/>
          <w:marTop w:val="0"/>
          <w:marBottom w:val="0"/>
          <w:divBdr>
            <w:top w:val="none" w:sz="0" w:space="0" w:color="auto"/>
            <w:left w:val="none" w:sz="0" w:space="0" w:color="auto"/>
            <w:bottom w:val="none" w:sz="0" w:space="0" w:color="auto"/>
            <w:right w:val="none" w:sz="0" w:space="0" w:color="auto"/>
          </w:divBdr>
        </w:div>
        <w:div w:id="424229091">
          <w:marLeft w:val="0"/>
          <w:marRight w:val="0"/>
          <w:marTop w:val="0"/>
          <w:marBottom w:val="0"/>
          <w:divBdr>
            <w:top w:val="none" w:sz="0" w:space="0" w:color="auto"/>
            <w:left w:val="none" w:sz="0" w:space="0" w:color="auto"/>
            <w:bottom w:val="none" w:sz="0" w:space="0" w:color="auto"/>
            <w:right w:val="none" w:sz="0" w:space="0" w:color="auto"/>
          </w:divBdr>
        </w:div>
        <w:div w:id="127095215">
          <w:marLeft w:val="0"/>
          <w:marRight w:val="0"/>
          <w:marTop w:val="0"/>
          <w:marBottom w:val="0"/>
          <w:divBdr>
            <w:top w:val="none" w:sz="0" w:space="0" w:color="auto"/>
            <w:left w:val="none" w:sz="0" w:space="0" w:color="auto"/>
            <w:bottom w:val="none" w:sz="0" w:space="0" w:color="auto"/>
            <w:right w:val="none" w:sz="0" w:space="0" w:color="auto"/>
          </w:divBdr>
        </w:div>
        <w:div w:id="1046954349">
          <w:marLeft w:val="0"/>
          <w:marRight w:val="0"/>
          <w:marTop w:val="0"/>
          <w:marBottom w:val="0"/>
          <w:divBdr>
            <w:top w:val="none" w:sz="0" w:space="0" w:color="auto"/>
            <w:left w:val="none" w:sz="0" w:space="0" w:color="auto"/>
            <w:bottom w:val="none" w:sz="0" w:space="0" w:color="auto"/>
            <w:right w:val="none" w:sz="0" w:space="0" w:color="auto"/>
          </w:divBdr>
        </w:div>
        <w:div w:id="2123107469">
          <w:marLeft w:val="0"/>
          <w:marRight w:val="0"/>
          <w:marTop w:val="0"/>
          <w:marBottom w:val="0"/>
          <w:divBdr>
            <w:top w:val="none" w:sz="0" w:space="0" w:color="auto"/>
            <w:left w:val="none" w:sz="0" w:space="0" w:color="auto"/>
            <w:bottom w:val="none" w:sz="0" w:space="0" w:color="auto"/>
            <w:right w:val="none" w:sz="0" w:space="0" w:color="auto"/>
          </w:divBdr>
        </w:div>
        <w:div w:id="1989899011">
          <w:marLeft w:val="0"/>
          <w:marRight w:val="0"/>
          <w:marTop w:val="0"/>
          <w:marBottom w:val="0"/>
          <w:divBdr>
            <w:top w:val="none" w:sz="0" w:space="0" w:color="auto"/>
            <w:left w:val="none" w:sz="0" w:space="0" w:color="auto"/>
            <w:bottom w:val="none" w:sz="0" w:space="0" w:color="auto"/>
            <w:right w:val="none" w:sz="0" w:space="0" w:color="auto"/>
          </w:divBdr>
        </w:div>
        <w:div w:id="1816220217">
          <w:marLeft w:val="0"/>
          <w:marRight w:val="0"/>
          <w:marTop w:val="0"/>
          <w:marBottom w:val="0"/>
          <w:divBdr>
            <w:top w:val="none" w:sz="0" w:space="0" w:color="auto"/>
            <w:left w:val="none" w:sz="0" w:space="0" w:color="auto"/>
            <w:bottom w:val="none" w:sz="0" w:space="0" w:color="auto"/>
            <w:right w:val="none" w:sz="0" w:space="0" w:color="auto"/>
          </w:divBdr>
        </w:div>
        <w:div w:id="1958170420">
          <w:marLeft w:val="0"/>
          <w:marRight w:val="0"/>
          <w:marTop w:val="0"/>
          <w:marBottom w:val="0"/>
          <w:divBdr>
            <w:top w:val="none" w:sz="0" w:space="0" w:color="auto"/>
            <w:left w:val="none" w:sz="0" w:space="0" w:color="auto"/>
            <w:bottom w:val="none" w:sz="0" w:space="0" w:color="auto"/>
            <w:right w:val="none" w:sz="0" w:space="0" w:color="auto"/>
          </w:divBdr>
        </w:div>
        <w:div w:id="238179070">
          <w:marLeft w:val="0"/>
          <w:marRight w:val="0"/>
          <w:marTop w:val="0"/>
          <w:marBottom w:val="0"/>
          <w:divBdr>
            <w:top w:val="none" w:sz="0" w:space="0" w:color="auto"/>
            <w:left w:val="none" w:sz="0" w:space="0" w:color="auto"/>
            <w:bottom w:val="none" w:sz="0" w:space="0" w:color="auto"/>
            <w:right w:val="none" w:sz="0" w:space="0" w:color="auto"/>
          </w:divBdr>
        </w:div>
        <w:div w:id="1785801775">
          <w:marLeft w:val="0"/>
          <w:marRight w:val="0"/>
          <w:marTop w:val="0"/>
          <w:marBottom w:val="0"/>
          <w:divBdr>
            <w:top w:val="none" w:sz="0" w:space="0" w:color="auto"/>
            <w:left w:val="none" w:sz="0" w:space="0" w:color="auto"/>
            <w:bottom w:val="none" w:sz="0" w:space="0" w:color="auto"/>
            <w:right w:val="none" w:sz="0" w:space="0" w:color="auto"/>
          </w:divBdr>
        </w:div>
        <w:div w:id="599799570">
          <w:marLeft w:val="0"/>
          <w:marRight w:val="0"/>
          <w:marTop w:val="0"/>
          <w:marBottom w:val="0"/>
          <w:divBdr>
            <w:top w:val="none" w:sz="0" w:space="0" w:color="auto"/>
            <w:left w:val="none" w:sz="0" w:space="0" w:color="auto"/>
            <w:bottom w:val="none" w:sz="0" w:space="0" w:color="auto"/>
            <w:right w:val="none" w:sz="0" w:space="0" w:color="auto"/>
          </w:divBdr>
        </w:div>
        <w:div w:id="1341352637">
          <w:marLeft w:val="0"/>
          <w:marRight w:val="0"/>
          <w:marTop w:val="0"/>
          <w:marBottom w:val="0"/>
          <w:divBdr>
            <w:top w:val="none" w:sz="0" w:space="0" w:color="auto"/>
            <w:left w:val="none" w:sz="0" w:space="0" w:color="auto"/>
            <w:bottom w:val="none" w:sz="0" w:space="0" w:color="auto"/>
            <w:right w:val="none" w:sz="0" w:space="0" w:color="auto"/>
          </w:divBdr>
        </w:div>
        <w:div w:id="2079861865">
          <w:marLeft w:val="0"/>
          <w:marRight w:val="0"/>
          <w:marTop w:val="0"/>
          <w:marBottom w:val="0"/>
          <w:divBdr>
            <w:top w:val="none" w:sz="0" w:space="0" w:color="auto"/>
            <w:left w:val="none" w:sz="0" w:space="0" w:color="auto"/>
            <w:bottom w:val="none" w:sz="0" w:space="0" w:color="auto"/>
            <w:right w:val="none" w:sz="0" w:space="0" w:color="auto"/>
          </w:divBdr>
        </w:div>
        <w:div w:id="1014914278">
          <w:marLeft w:val="0"/>
          <w:marRight w:val="0"/>
          <w:marTop w:val="0"/>
          <w:marBottom w:val="0"/>
          <w:divBdr>
            <w:top w:val="none" w:sz="0" w:space="0" w:color="auto"/>
            <w:left w:val="none" w:sz="0" w:space="0" w:color="auto"/>
            <w:bottom w:val="none" w:sz="0" w:space="0" w:color="auto"/>
            <w:right w:val="none" w:sz="0" w:space="0" w:color="auto"/>
          </w:divBdr>
        </w:div>
        <w:div w:id="101733811">
          <w:marLeft w:val="0"/>
          <w:marRight w:val="0"/>
          <w:marTop w:val="0"/>
          <w:marBottom w:val="0"/>
          <w:divBdr>
            <w:top w:val="none" w:sz="0" w:space="0" w:color="auto"/>
            <w:left w:val="none" w:sz="0" w:space="0" w:color="auto"/>
            <w:bottom w:val="none" w:sz="0" w:space="0" w:color="auto"/>
            <w:right w:val="none" w:sz="0" w:space="0" w:color="auto"/>
          </w:divBdr>
        </w:div>
      </w:divsChild>
    </w:div>
    <w:div w:id="1137913359">
      <w:bodyDiv w:val="1"/>
      <w:marLeft w:val="0"/>
      <w:marRight w:val="0"/>
      <w:marTop w:val="0"/>
      <w:marBottom w:val="0"/>
      <w:divBdr>
        <w:top w:val="none" w:sz="0" w:space="0" w:color="auto"/>
        <w:left w:val="none" w:sz="0" w:space="0" w:color="auto"/>
        <w:bottom w:val="none" w:sz="0" w:space="0" w:color="auto"/>
        <w:right w:val="none" w:sz="0" w:space="0" w:color="auto"/>
      </w:divBdr>
    </w:div>
    <w:div w:id="1181121450">
      <w:bodyDiv w:val="1"/>
      <w:marLeft w:val="0"/>
      <w:marRight w:val="0"/>
      <w:marTop w:val="0"/>
      <w:marBottom w:val="0"/>
      <w:divBdr>
        <w:top w:val="none" w:sz="0" w:space="0" w:color="auto"/>
        <w:left w:val="none" w:sz="0" w:space="0" w:color="auto"/>
        <w:bottom w:val="none" w:sz="0" w:space="0" w:color="auto"/>
        <w:right w:val="none" w:sz="0" w:space="0" w:color="auto"/>
      </w:divBdr>
    </w:div>
    <w:div w:id="1305280698">
      <w:bodyDiv w:val="1"/>
      <w:marLeft w:val="0"/>
      <w:marRight w:val="0"/>
      <w:marTop w:val="0"/>
      <w:marBottom w:val="0"/>
      <w:divBdr>
        <w:top w:val="none" w:sz="0" w:space="0" w:color="auto"/>
        <w:left w:val="none" w:sz="0" w:space="0" w:color="auto"/>
        <w:bottom w:val="none" w:sz="0" w:space="0" w:color="auto"/>
        <w:right w:val="none" w:sz="0" w:space="0" w:color="auto"/>
      </w:divBdr>
    </w:div>
    <w:div w:id="1495337096">
      <w:bodyDiv w:val="1"/>
      <w:marLeft w:val="0"/>
      <w:marRight w:val="0"/>
      <w:marTop w:val="0"/>
      <w:marBottom w:val="0"/>
      <w:divBdr>
        <w:top w:val="none" w:sz="0" w:space="0" w:color="auto"/>
        <w:left w:val="none" w:sz="0" w:space="0" w:color="auto"/>
        <w:bottom w:val="none" w:sz="0" w:space="0" w:color="auto"/>
        <w:right w:val="none" w:sz="0" w:space="0" w:color="auto"/>
      </w:divBdr>
    </w:div>
    <w:div w:id="1602029507">
      <w:bodyDiv w:val="1"/>
      <w:marLeft w:val="0"/>
      <w:marRight w:val="0"/>
      <w:marTop w:val="0"/>
      <w:marBottom w:val="0"/>
      <w:divBdr>
        <w:top w:val="none" w:sz="0" w:space="0" w:color="auto"/>
        <w:left w:val="none" w:sz="0" w:space="0" w:color="auto"/>
        <w:bottom w:val="none" w:sz="0" w:space="0" w:color="auto"/>
        <w:right w:val="none" w:sz="0" w:space="0" w:color="auto"/>
      </w:divBdr>
      <w:divsChild>
        <w:div w:id="217086670">
          <w:marLeft w:val="0"/>
          <w:marRight w:val="0"/>
          <w:marTop w:val="0"/>
          <w:marBottom w:val="0"/>
          <w:divBdr>
            <w:top w:val="none" w:sz="0" w:space="0" w:color="auto"/>
            <w:left w:val="none" w:sz="0" w:space="0" w:color="auto"/>
            <w:bottom w:val="none" w:sz="0" w:space="0" w:color="auto"/>
            <w:right w:val="none" w:sz="0" w:space="0" w:color="auto"/>
          </w:divBdr>
        </w:div>
        <w:div w:id="1505628875">
          <w:marLeft w:val="0"/>
          <w:marRight w:val="0"/>
          <w:marTop w:val="0"/>
          <w:marBottom w:val="0"/>
          <w:divBdr>
            <w:top w:val="none" w:sz="0" w:space="0" w:color="auto"/>
            <w:left w:val="none" w:sz="0" w:space="0" w:color="auto"/>
            <w:bottom w:val="none" w:sz="0" w:space="0" w:color="auto"/>
            <w:right w:val="none" w:sz="0" w:space="0" w:color="auto"/>
          </w:divBdr>
        </w:div>
        <w:div w:id="2030790649">
          <w:marLeft w:val="0"/>
          <w:marRight w:val="0"/>
          <w:marTop w:val="0"/>
          <w:marBottom w:val="0"/>
          <w:divBdr>
            <w:top w:val="none" w:sz="0" w:space="0" w:color="auto"/>
            <w:left w:val="none" w:sz="0" w:space="0" w:color="auto"/>
            <w:bottom w:val="none" w:sz="0" w:space="0" w:color="auto"/>
            <w:right w:val="none" w:sz="0" w:space="0" w:color="auto"/>
          </w:divBdr>
        </w:div>
        <w:div w:id="1463621861">
          <w:marLeft w:val="0"/>
          <w:marRight w:val="0"/>
          <w:marTop w:val="0"/>
          <w:marBottom w:val="0"/>
          <w:divBdr>
            <w:top w:val="none" w:sz="0" w:space="0" w:color="auto"/>
            <w:left w:val="none" w:sz="0" w:space="0" w:color="auto"/>
            <w:bottom w:val="none" w:sz="0" w:space="0" w:color="auto"/>
            <w:right w:val="none" w:sz="0" w:space="0" w:color="auto"/>
          </w:divBdr>
        </w:div>
        <w:div w:id="306591140">
          <w:marLeft w:val="0"/>
          <w:marRight w:val="0"/>
          <w:marTop w:val="0"/>
          <w:marBottom w:val="0"/>
          <w:divBdr>
            <w:top w:val="none" w:sz="0" w:space="0" w:color="auto"/>
            <w:left w:val="none" w:sz="0" w:space="0" w:color="auto"/>
            <w:bottom w:val="none" w:sz="0" w:space="0" w:color="auto"/>
            <w:right w:val="none" w:sz="0" w:space="0" w:color="auto"/>
          </w:divBdr>
        </w:div>
      </w:divsChild>
    </w:div>
    <w:div w:id="1649749027">
      <w:bodyDiv w:val="1"/>
      <w:marLeft w:val="0"/>
      <w:marRight w:val="0"/>
      <w:marTop w:val="0"/>
      <w:marBottom w:val="0"/>
      <w:divBdr>
        <w:top w:val="none" w:sz="0" w:space="0" w:color="auto"/>
        <w:left w:val="none" w:sz="0" w:space="0" w:color="auto"/>
        <w:bottom w:val="none" w:sz="0" w:space="0" w:color="auto"/>
        <w:right w:val="none" w:sz="0" w:space="0" w:color="auto"/>
      </w:divBdr>
    </w:div>
    <w:div w:id="1682514917">
      <w:bodyDiv w:val="1"/>
      <w:marLeft w:val="0"/>
      <w:marRight w:val="0"/>
      <w:marTop w:val="0"/>
      <w:marBottom w:val="0"/>
      <w:divBdr>
        <w:top w:val="none" w:sz="0" w:space="0" w:color="auto"/>
        <w:left w:val="none" w:sz="0" w:space="0" w:color="auto"/>
        <w:bottom w:val="none" w:sz="0" w:space="0" w:color="auto"/>
        <w:right w:val="none" w:sz="0" w:space="0" w:color="auto"/>
      </w:divBdr>
    </w:div>
    <w:div w:id="1782188171">
      <w:bodyDiv w:val="1"/>
      <w:marLeft w:val="0"/>
      <w:marRight w:val="0"/>
      <w:marTop w:val="0"/>
      <w:marBottom w:val="0"/>
      <w:divBdr>
        <w:top w:val="none" w:sz="0" w:space="0" w:color="auto"/>
        <w:left w:val="none" w:sz="0" w:space="0" w:color="auto"/>
        <w:bottom w:val="none" w:sz="0" w:space="0" w:color="auto"/>
        <w:right w:val="none" w:sz="0" w:space="0" w:color="auto"/>
      </w:divBdr>
    </w:div>
    <w:div w:id="1792820102">
      <w:bodyDiv w:val="1"/>
      <w:marLeft w:val="0"/>
      <w:marRight w:val="0"/>
      <w:marTop w:val="0"/>
      <w:marBottom w:val="0"/>
      <w:divBdr>
        <w:top w:val="none" w:sz="0" w:space="0" w:color="auto"/>
        <w:left w:val="none" w:sz="0" w:space="0" w:color="auto"/>
        <w:bottom w:val="none" w:sz="0" w:space="0" w:color="auto"/>
        <w:right w:val="none" w:sz="0" w:space="0" w:color="auto"/>
      </w:divBdr>
    </w:div>
    <w:div w:id="2108574022">
      <w:bodyDiv w:val="1"/>
      <w:marLeft w:val="0"/>
      <w:marRight w:val="0"/>
      <w:marTop w:val="0"/>
      <w:marBottom w:val="0"/>
      <w:divBdr>
        <w:top w:val="none" w:sz="0" w:space="0" w:color="auto"/>
        <w:left w:val="none" w:sz="0" w:space="0" w:color="auto"/>
        <w:bottom w:val="none" w:sz="0" w:space="0" w:color="auto"/>
        <w:right w:val="none" w:sz="0" w:space="0" w:color="auto"/>
      </w:divBdr>
      <w:divsChild>
        <w:div w:id="173153356">
          <w:marLeft w:val="0"/>
          <w:marRight w:val="0"/>
          <w:marTop w:val="0"/>
          <w:marBottom w:val="0"/>
          <w:divBdr>
            <w:top w:val="none" w:sz="0" w:space="0" w:color="auto"/>
            <w:left w:val="none" w:sz="0" w:space="0" w:color="auto"/>
            <w:bottom w:val="none" w:sz="0" w:space="0" w:color="auto"/>
            <w:right w:val="none" w:sz="0" w:space="0" w:color="auto"/>
          </w:divBdr>
        </w:div>
        <w:div w:id="756940995">
          <w:marLeft w:val="0"/>
          <w:marRight w:val="0"/>
          <w:marTop w:val="0"/>
          <w:marBottom w:val="0"/>
          <w:divBdr>
            <w:top w:val="none" w:sz="0" w:space="0" w:color="auto"/>
            <w:left w:val="none" w:sz="0" w:space="0" w:color="auto"/>
            <w:bottom w:val="none" w:sz="0" w:space="0" w:color="auto"/>
            <w:right w:val="none" w:sz="0" w:space="0" w:color="auto"/>
          </w:divBdr>
        </w:div>
        <w:div w:id="1224222233">
          <w:marLeft w:val="0"/>
          <w:marRight w:val="0"/>
          <w:marTop w:val="0"/>
          <w:marBottom w:val="0"/>
          <w:divBdr>
            <w:top w:val="none" w:sz="0" w:space="0" w:color="auto"/>
            <w:left w:val="none" w:sz="0" w:space="0" w:color="auto"/>
            <w:bottom w:val="none" w:sz="0" w:space="0" w:color="auto"/>
            <w:right w:val="none" w:sz="0" w:space="0" w:color="auto"/>
          </w:divBdr>
        </w:div>
        <w:div w:id="710883345">
          <w:marLeft w:val="0"/>
          <w:marRight w:val="0"/>
          <w:marTop w:val="0"/>
          <w:marBottom w:val="0"/>
          <w:divBdr>
            <w:top w:val="none" w:sz="0" w:space="0" w:color="auto"/>
            <w:left w:val="none" w:sz="0" w:space="0" w:color="auto"/>
            <w:bottom w:val="none" w:sz="0" w:space="0" w:color="auto"/>
            <w:right w:val="none" w:sz="0" w:space="0" w:color="auto"/>
          </w:divBdr>
        </w:div>
        <w:div w:id="2131318910">
          <w:marLeft w:val="0"/>
          <w:marRight w:val="0"/>
          <w:marTop w:val="0"/>
          <w:marBottom w:val="0"/>
          <w:divBdr>
            <w:top w:val="none" w:sz="0" w:space="0" w:color="auto"/>
            <w:left w:val="none" w:sz="0" w:space="0" w:color="auto"/>
            <w:bottom w:val="none" w:sz="0" w:space="0" w:color="auto"/>
            <w:right w:val="none" w:sz="0" w:space="0" w:color="auto"/>
          </w:divBdr>
        </w:div>
        <w:div w:id="1801922818">
          <w:marLeft w:val="0"/>
          <w:marRight w:val="0"/>
          <w:marTop w:val="0"/>
          <w:marBottom w:val="0"/>
          <w:divBdr>
            <w:top w:val="none" w:sz="0" w:space="0" w:color="auto"/>
            <w:left w:val="none" w:sz="0" w:space="0" w:color="auto"/>
            <w:bottom w:val="none" w:sz="0" w:space="0" w:color="auto"/>
            <w:right w:val="none" w:sz="0" w:space="0" w:color="auto"/>
          </w:divBdr>
        </w:div>
        <w:div w:id="1194659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conomistjurist.es/wp-content/uploads/sites/2/2015/05/JURISPRUDENCIA-DEL-TRIBUNAL-DE-JUSTICIA-DE-LA-UNI%C3%93N-EUROPEA-por-Alegr%C3%ADa-Borr%C3%A1s.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noticias.juridicas.com/base_datos/Fiscal/l49-2002.cpt2.html" TargetMode="External"/><Relationship Id="rId17" Type="http://schemas.openxmlformats.org/officeDocument/2006/relationships/header" Target="header1.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bizkaia.eus/Ogasuna/Zerga_Arautegia/Indarreko_arautegia/pdf/ca_10_2013.pdf?idioma=C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oticias.juridicas.com/base_datos/Fiscal/l19-1991.html" TargetMode="External"/><Relationship Id="rId5" Type="http://schemas.openxmlformats.org/officeDocument/2006/relationships/webSettings" Target="webSettings.xml"/><Relationship Id="rId15" Type="http://schemas.openxmlformats.org/officeDocument/2006/relationships/hyperlink" Target="https://dialnet.unirioja.es/ejemplar/403458" TargetMode="External"/><Relationship Id="rId23" Type="http://schemas.openxmlformats.org/officeDocument/2006/relationships/theme" Target="theme/theme1.xml"/><Relationship Id="rId10" Type="http://schemas.openxmlformats.org/officeDocument/2006/relationships/hyperlink" Target="http://noticias.juridicas.com/base_datos/Privado/l19-1995.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dialnet.unirioja.es/servlet/revista?codigo=1714" TargetMode="Externa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s://dialnet.unirioja.es/ejemplar/403458" TargetMode="External"/><Relationship Id="rId2" Type="http://schemas.openxmlformats.org/officeDocument/2006/relationships/hyperlink" Target="https://dialnet.unirioja.es/servlet/revista?codigo=1714" TargetMode="External"/><Relationship Id="rId1" Type="http://schemas.openxmlformats.org/officeDocument/2006/relationships/hyperlink" Target="http://www.clmeconomia.jccm.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CD2B0C1779A40D088F00C9CE1C27E94"/>
        <w:category>
          <w:name w:val="General"/>
          <w:gallery w:val="placeholder"/>
        </w:category>
        <w:types>
          <w:type w:val="bbPlcHdr"/>
        </w:types>
        <w:behaviors>
          <w:behavior w:val="content"/>
        </w:behaviors>
        <w:guid w:val="{C14C57CC-29AB-4773-B545-7A31B29D286F}"/>
      </w:docPartPr>
      <w:docPartBody>
        <w:p w:rsidR="001E752B" w:rsidRDefault="005D7978" w:rsidP="005D7978">
          <w:pPr>
            <w:pStyle w:val="FCD2B0C1779A40D088F00C9CE1C27E94"/>
          </w:pPr>
          <w:r>
            <w:rPr>
              <w:rFonts w:asciiTheme="majorHAnsi" w:eastAsiaTheme="majorEastAsia" w:hAnsiTheme="majorHAnsi" w:cstheme="majorBidi"/>
              <w:sz w:val="32"/>
              <w:szCs w:val="32"/>
            </w:rPr>
            <w:t>[Escribir el título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Condensed">
    <w:altName w:val="Helvetica Condensed"/>
    <w:panose1 w:val="00000000000000000000"/>
    <w:charset w:val="00"/>
    <w:family w:val="swiss"/>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MST T 31c 5d 4">
    <w:altName w:val="MST T 31c 5d"/>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EYInterstate-Light">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NeueLT55Roman">
    <w:panose1 w:val="00000000000000000000"/>
    <w:charset w:val="00"/>
    <w:family w:val="auto"/>
    <w:notTrueType/>
    <w:pitch w:val="default"/>
    <w:sig w:usb0="00000003" w:usb1="00000000" w:usb2="00000000" w:usb3="00000000" w:csb0="00000001" w:csb1="00000000"/>
  </w:font>
  <w:font w:name="Optima">
    <w:panose1 w:val="00000000000000000000"/>
    <w:charset w:val="00"/>
    <w:family w:val="swiss"/>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Helvetica-Oblique">
    <w:panose1 w:val="00000000000000000000"/>
    <w:charset w:val="00"/>
    <w:family w:val="roman"/>
    <w:notTrueType/>
    <w:pitch w:val="default"/>
    <w:sig w:usb0="00000003" w:usb1="00000000" w:usb2="00000000" w:usb3="00000000" w:csb0="00000001" w:csb1="00000000"/>
  </w:font>
  <w:font w:name="DIOHL G+ Times">
    <w:altName w:val="Times"/>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5D7978"/>
    <w:rsid w:val="00005699"/>
    <w:rsid w:val="000468B5"/>
    <w:rsid w:val="000A4523"/>
    <w:rsid w:val="000E6B11"/>
    <w:rsid w:val="001435FA"/>
    <w:rsid w:val="001773ED"/>
    <w:rsid w:val="0019282A"/>
    <w:rsid w:val="0019466D"/>
    <w:rsid w:val="001B41A9"/>
    <w:rsid w:val="001D4D56"/>
    <w:rsid w:val="001E752B"/>
    <w:rsid w:val="00212696"/>
    <w:rsid w:val="00276B7D"/>
    <w:rsid w:val="00286836"/>
    <w:rsid w:val="00393076"/>
    <w:rsid w:val="0039461C"/>
    <w:rsid w:val="003C5D4D"/>
    <w:rsid w:val="0046410C"/>
    <w:rsid w:val="004A440C"/>
    <w:rsid w:val="004D05B5"/>
    <w:rsid w:val="004E0B24"/>
    <w:rsid w:val="004E102A"/>
    <w:rsid w:val="004F6F51"/>
    <w:rsid w:val="0050717B"/>
    <w:rsid w:val="0057553C"/>
    <w:rsid w:val="005A3886"/>
    <w:rsid w:val="005C7EAE"/>
    <w:rsid w:val="005D7978"/>
    <w:rsid w:val="006140F7"/>
    <w:rsid w:val="00686A4A"/>
    <w:rsid w:val="00693435"/>
    <w:rsid w:val="006E038D"/>
    <w:rsid w:val="007064BC"/>
    <w:rsid w:val="00740CFC"/>
    <w:rsid w:val="007C1E18"/>
    <w:rsid w:val="008339BC"/>
    <w:rsid w:val="00850344"/>
    <w:rsid w:val="00904F91"/>
    <w:rsid w:val="00931EE1"/>
    <w:rsid w:val="009638E2"/>
    <w:rsid w:val="009C608E"/>
    <w:rsid w:val="009F0F59"/>
    <w:rsid w:val="00A0355C"/>
    <w:rsid w:val="00A25909"/>
    <w:rsid w:val="00AB59D6"/>
    <w:rsid w:val="00AC6F26"/>
    <w:rsid w:val="00B1779F"/>
    <w:rsid w:val="00B26B63"/>
    <w:rsid w:val="00BA6578"/>
    <w:rsid w:val="00C4700C"/>
    <w:rsid w:val="00D0783B"/>
    <w:rsid w:val="00D30189"/>
    <w:rsid w:val="00D31D4D"/>
    <w:rsid w:val="00D32CA0"/>
    <w:rsid w:val="00D409D3"/>
    <w:rsid w:val="00D927E0"/>
    <w:rsid w:val="00D95D96"/>
    <w:rsid w:val="00DA78B0"/>
    <w:rsid w:val="00DD43EA"/>
    <w:rsid w:val="00DD46EF"/>
    <w:rsid w:val="00E03EDB"/>
    <w:rsid w:val="00E54012"/>
    <w:rsid w:val="00F064E9"/>
    <w:rsid w:val="00F1476F"/>
    <w:rsid w:val="00FB7D3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52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A8CE7983BA04534B2F20ECD798EF50A">
    <w:name w:val="FA8CE7983BA04534B2F20ECD798EF50A"/>
    <w:rsid w:val="005D7978"/>
  </w:style>
  <w:style w:type="paragraph" w:customStyle="1" w:styleId="FCD2B0C1779A40D088F00C9CE1C27E94">
    <w:name w:val="FCD2B0C1779A40D088F00C9CE1C27E94"/>
    <w:rsid w:val="005D7978"/>
  </w:style>
  <w:style w:type="paragraph" w:customStyle="1" w:styleId="FE9B148C515747A1AA616E9942FE9476">
    <w:name w:val="FE9B148C515747A1AA616E9942FE9476"/>
    <w:rsid w:val="004D05B5"/>
  </w:style>
  <w:style w:type="paragraph" w:customStyle="1" w:styleId="9FEB413405DB4BBD98EC78640EB4E97C">
    <w:name w:val="9FEB413405DB4BBD98EC78640EB4E97C"/>
    <w:rsid w:val="004D05B5"/>
  </w:style>
  <w:style w:type="paragraph" w:customStyle="1" w:styleId="37BD9FEF305A4C0186EAD7180D3EE2DB">
    <w:name w:val="37BD9FEF305A4C0186EAD7180D3EE2DB"/>
    <w:rsid w:val="004D05B5"/>
  </w:style>
  <w:style w:type="paragraph" w:customStyle="1" w:styleId="83D1E576ECC44A208CBD3FA74C55A74B">
    <w:name w:val="83D1E576ECC44A208CBD3FA74C55A74B"/>
    <w:rsid w:val="004D05B5"/>
  </w:style>
  <w:style w:type="paragraph" w:customStyle="1" w:styleId="C94FADC465274A1181B717BE84B78441">
    <w:name w:val="C94FADC465274A1181B717BE84B78441"/>
    <w:rsid w:val="007C1E18"/>
  </w:style>
  <w:style w:type="paragraph" w:customStyle="1" w:styleId="FC23F25BBA164AE1BF18C26110E61E82">
    <w:name w:val="FC23F25BBA164AE1BF18C26110E61E82"/>
    <w:rsid w:val="007C1E18"/>
  </w:style>
  <w:style w:type="paragraph" w:customStyle="1" w:styleId="B7FDF48028E64CC696379E07344DE8ED">
    <w:name w:val="B7FDF48028E64CC696379E07344DE8ED"/>
    <w:rsid w:val="007C1E1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705D7-B0C8-4F2F-8E34-ABDA10B51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115</Pages>
  <Words>30841</Words>
  <Characters>169626</Characters>
  <Application>Microsoft Office Word</Application>
  <DocSecurity>0</DocSecurity>
  <Lines>1413</Lines>
  <Paragraphs>400</Paragraphs>
  <ScaleCrop>false</ScaleCrop>
  <HeadingPairs>
    <vt:vector size="2" baseType="variant">
      <vt:variant>
        <vt:lpstr>Título</vt:lpstr>
      </vt:variant>
      <vt:variant>
        <vt:i4>1</vt:i4>
      </vt:variant>
    </vt:vector>
  </HeadingPairs>
  <TitlesOfParts>
    <vt:vector size="1" baseType="lpstr">
      <vt:lpstr>Competencia fiscal del Impuesto sobre Sucesiones en la Unión Europea y en España:                 análisis comparativo y problemática planteada</vt:lpstr>
    </vt:vector>
  </TitlesOfParts>
  <Company>RevolucionUnattended</Company>
  <LinksUpToDate>false</LinksUpToDate>
  <CharactersWithSpaces>200067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Competencia fiscal del Impuesto sobre Sucesiones en la Unión Europea y en España:                 análisis comparativo y problemática planteada</dc:title>
  <dc:creator>Cristobal</dc:creator>
  <cp:lastModifiedBy>Maribel</cp:lastModifiedBy>
  <cp:revision>2</cp:revision>
  <cp:lastPrinted>2017-09-26T15:19:00Z</cp:lastPrinted>
  <dcterms:created xsi:type="dcterms:W3CDTF">2018-01-17T08:51:00Z</dcterms:created>
  <dcterms:modified xsi:type="dcterms:W3CDTF">2018-01-17T08:51:00Z</dcterms:modified>
</cp:coreProperties>
</file>